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1"/>
        <w:widowControl/>
        <w:spacing w:beforeAutospacing="0" w:afterAutospacing="0" w:line="800" w:lineRule="exact"/>
        <w:jc w:val="both"/>
        <w:rPr>
          <w:rFonts w:ascii="Times New Roman" w:hAnsi="Times New Roman" w:eastAsia="方正大标宋简体"/>
          <w:bCs/>
          <w:color w:val="000000"/>
          <w:sz w:val="72"/>
          <w:szCs w:val="72"/>
        </w:rPr>
      </w:pPr>
    </w:p>
    <w:p>
      <w:pPr>
        <w:pStyle w:val="11"/>
        <w:widowControl/>
        <w:spacing w:beforeAutospacing="0" w:afterAutospacing="0" w:line="800" w:lineRule="exact"/>
        <w:jc w:val="both"/>
        <w:rPr>
          <w:rFonts w:ascii="Times New Roman" w:hAnsi="Times New Roman" w:eastAsia="方正大标宋简体"/>
          <w:bCs/>
          <w:color w:val="000000"/>
          <w:sz w:val="72"/>
          <w:szCs w:val="72"/>
        </w:rPr>
      </w:pPr>
    </w:p>
    <w:p>
      <w:pPr>
        <w:pStyle w:val="11"/>
        <w:widowControl/>
        <w:spacing w:beforeAutospacing="0" w:afterAutospacing="0" w:line="800" w:lineRule="exact"/>
        <w:jc w:val="both"/>
        <w:rPr>
          <w:rFonts w:ascii="Times New Roman" w:hAnsi="Times New Roman" w:eastAsia="方正大标宋简体"/>
          <w:bCs/>
          <w:color w:val="000000"/>
          <w:sz w:val="72"/>
          <w:szCs w:val="72"/>
        </w:rPr>
      </w:pPr>
    </w:p>
    <w:p>
      <w:pPr>
        <w:pStyle w:val="11"/>
        <w:widowControl/>
        <w:spacing w:beforeAutospacing="0" w:afterAutospacing="0" w:line="800" w:lineRule="exact"/>
        <w:jc w:val="center"/>
        <w:rPr>
          <w:rFonts w:ascii="Times New Roman" w:hAnsi="Times New Roman" w:eastAsia="方正大标宋简体"/>
          <w:bCs/>
          <w:color w:val="000000"/>
          <w:sz w:val="72"/>
          <w:szCs w:val="72"/>
        </w:rPr>
      </w:pPr>
      <w:r>
        <w:rPr>
          <w:rFonts w:hint="eastAsia" w:ascii="Times New Roman" w:hAnsi="Times New Roman" w:eastAsia="方正大标宋简体"/>
          <w:bCs/>
          <w:color w:val="000000"/>
          <w:sz w:val="72"/>
          <w:szCs w:val="72"/>
          <w:lang w:val="en-US" w:eastAsia="zh-CN"/>
        </w:rPr>
        <w:t>支部学习</w:t>
      </w:r>
      <w:r>
        <w:rPr>
          <w:rFonts w:ascii="Times New Roman" w:hAnsi="Times New Roman" w:eastAsia="方正大标宋简体"/>
          <w:bCs/>
          <w:color w:val="000000"/>
          <w:sz w:val="72"/>
          <w:szCs w:val="72"/>
        </w:rPr>
        <w:t>资料汇编</w:t>
      </w:r>
    </w:p>
    <w:p/>
    <w:p>
      <w:pPr>
        <w:widowControl/>
        <w:shd w:val="clear" w:color="auto" w:fill="FFFFFF"/>
        <w:spacing w:line="420" w:lineRule="atLeast"/>
        <w:rPr>
          <w:rFonts w:ascii="宋体" w:hAnsi="宋体" w:eastAsia="宋体" w:cs="宋体"/>
          <w:color w:val="000000"/>
          <w:kern w:val="0"/>
          <w:sz w:val="28"/>
          <w:szCs w:val="28"/>
          <w:shd w:val="clear" w:color="auto" w:fill="FFFFFF"/>
          <w:lang w:bidi="ar"/>
        </w:rPr>
      </w:pPr>
    </w:p>
    <w:p>
      <w:pPr>
        <w:widowControl/>
        <w:shd w:val="clear" w:color="auto" w:fill="FFFFFF"/>
        <w:spacing w:line="420" w:lineRule="atLeast"/>
        <w:jc w:val="center"/>
        <w:rPr>
          <w:rFonts w:ascii="楷体_GB2312" w:hAnsi="楷体_GB2312" w:eastAsia="楷体_GB2312" w:cs="楷体_GB2312"/>
          <w:sz w:val="32"/>
          <w:szCs w:val="32"/>
        </w:rPr>
      </w:pPr>
    </w:p>
    <w:p>
      <w:pPr>
        <w:pStyle w:val="12"/>
        <w:rPr>
          <w:rFonts w:hint="eastAsia" w:ascii="方正小标宋简体" w:hAnsi="方正小标宋简体" w:eastAsia="方正小标宋简体" w:cs="方正小标宋简体"/>
          <w:b w:val="0"/>
          <w:sz w:val="48"/>
          <w:szCs w:val="48"/>
        </w:rPr>
      </w:pPr>
      <w:r>
        <w:rPr>
          <w:rFonts w:hint="eastAsia" w:ascii="方正小标宋简体" w:hAnsi="方正小标宋简体" w:eastAsia="方正小标宋简体" w:cs="方正小标宋简体"/>
          <w:b w:val="0"/>
          <w:sz w:val="48"/>
          <w:szCs w:val="48"/>
        </w:rPr>
        <w:t xml:space="preserve"> </w:t>
      </w:r>
    </w:p>
    <w:p>
      <w:pPr>
        <w:rPr>
          <w:rFonts w:hint="eastAsia"/>
        </w:rPr>
      </w:pPr>
    </w:p>
    <w:p/>
    <w:p>
      <w:pPr>
        <w:ind w:firstLine="600" w:firstLineChars="200"/>
        <w:jc w:val="center"/>
        <w:rPr>
          <w:rFonts w:hint="eastAsia" w:ascii="方正小标宋简体" w:hAnsi="方正小标宋简体" w:eastAsia="方正小标宋简体" w:cs="方正小标宋简体"/>
          <w:bCs/>
          <w:color w:val="000000" w:themeColor="text1"/>
          <w:kern w:val="0"/>
          <w:sz w:val="30"/>
          <w:szCs w:val="30"/>
          <w14:textFill>
            <w14:solidFill>
              <w14:schemeClr w14:val="tx1"/>
            </w14:solidFill>
          </w14:textFill>
        </w:rPr>
      </w:pPr>
    </w:p>
    <w:p>
      <w:pPr>
        <w:ind w:firstLine="600" w:firstLineChars="200"/>
        <w:jc w:val="center"/>
        <w:rPr>
          <w:rFonts w:hint="eastAsia" w:ascii="方正小标宋简体" w:hAnsi="方正小标宋简体" w:eastAsia="方正小标宋简体" w:cs="方正小标宋简体"/>
          <w:bCs/>
          <w:color w:val="000000" w:themeColor="text1"/>
          <w:kern w:val="0"/>
          <w:sz w:val="30"/>
          <w:szCs w:val="30"/>
          <w14:textFill>
            <w14:solidFill>
              <w14:schemeClr w14:val="tx1"/>
            </w14:solidFill>
          </w14:textFill>
        </w:rPr>
      </w:pPr>
    </w:p>
    <w:p>
      <w:pPr>
        <w:ind w:firstLine="600" w:firstLineChars="200"/>
        <w:jc w:val="center"/>
        <w:rPr>
          <w:rFonts w:hint="eastAsia" w:ascii="方正小标宋简体" w:hAnsi="方正小标宋简体" w:eastAsia="方正小标宋简体" w:cs="方正小标宋简体"/>
          <w:bCs/>
          <w:color w:val="000000" w:themeColor="text1"/>
          <w:kern w:val="0"/>
          <w:sz w:val="30"/>
          <w:szCs w:val="30"/>
          <w14:textFill>
            <w14:solidFill>
              <w14:schemeClr w14:val="tx1"/>
            </w14:solidFill>
          </w14:textFill>
        </w:rPr>
      </w:pPr>
    </w:p>
    <w:p>
      <w:pPr>
        <w:ind w:firstLine="600" w:firstLineChars="200"/>
        <w:jc w:val="center"/>
        <w:rPr>
          <w:rFonts w:hint="eastAsia" w:ascii="方正小标宋简体" w:hAnsi="方正小标宋简体" w:eastAsia="方正小标宋简体" w:cs="方正小标宋简体"/>
          <w:bCs/>
          <w:color w:val="000000" w:themeColor="text1"/>
          <w:kern w:val="0"/>
          <w:sz w:val="30"/>
          <w:szCs w:val="30"/>
          <w14:textFill>
            <w14:solidFill>
              <w14:schemeClr w14:val="tx1"/>
            </w14:solidFill>
          </w14:textFill>
        </w:rPr>
      </w:pPr>
    </w:p>
    <w:p>
      <w:pPr>
        <w:ind w:firstLine="600" w:firstLineChars="200"/>
        <w:jc w:val="center"/>
        <w:rPr>
          <w:rFonts w:hint="eastAsia" w:ascii="方正小标宋简体" w:hAnsi="方正小标宋简体" w:eastAsia="方正小标宋简体" w:cs="方正小标宋简体"/>
          <w:bCs/>
          <w:color w:val="000000" w:themeColor="text1"/>
          <w:kern w:val="0"/>
          <w:sz w:val="30"/>
          <w:szCs w:val="30"/>
          <w14:textFill>
            <w14:solidFill>
              <w14:schemeClr w14:val="tx1"/>
            </w14:solidFill>
          </w14:textFill>
        </w:rPr>
      </w:pPr>
      <w:r>
        <w:rPr>
          <w:rFonts w:hint="eastAsia" w:ascii="方正小标宋简体" w:hAnsi="方正小标宋简体" w:eastAsia="方正小标宋简体" w:cs="方正小标宋简体"/>
          <w:bCs/>
          <w:color w:val="000000" w:themeColor="text1"/>
          <w:kern w:val="0"/>
          <w:sz w:val="30"/>
          <w:szCs w:val="30"/>
          <w14:textFill>
            <w14:solidFill>
              <w14:schemeClr w14:val="tx1"/>
            </w14:solidFill>
          </w14:textFill>
        </w:rPr>
        <w:t xml:space="preserve">  </w:t>
      </w:r>
    </w:p>
    <w:p>
      <w:pPr>
        <w:ind w:firstLine="600" w:firstLineChars="200"/>
        <w:jc w:val="center"/>
        <w:rPr>
          <w:rFonts w:hint="eastAsia" w:ascii="方正小标宋简体" w:hAnsi="方正小标宋简体" w:eastAsia="方正小标宋简体" w:cs="方正小标宋简体"/>
          <w:bCs/>
          <w:color w:val="000000" w:themeColor="text1"/>
          <w:kern w:val="0"/>
          <w:sz w:val="30"/>
          <w:szCs w:val="30"/>
          <w14:textFill>
            <w14:solidFill>
              <w14:schemeClr w14:val="tx1"/>
            </w14:solidFill>
          </w14:textFill>
        </w:rPr>
      </w:pPr>
    </w:p>
    <w:p>
      <w:pPr>
        <w:ind w:firstLine="600" w:firstLineChars="200"/>
        <w:jc w:val="center"/>
        <w:rPr>
          <w:rFonts w:hint="eastAsia" w:ascii="方正小标宋简体" w:hAnsi="方正小标宋简体" w:eastAsia="方正小标宋简体" w:cs="方正小标宋简体"/>
          <w:bCs/>
          <w:color w:val="000000" w:themeColor="text1"/>
          <w:kern w:val="0"/>
          <w:sz w:val="30"/>
          <w:szCs w:val="30"/>
          <w14:textFill>
            <w14:solidFill>
              <w14:schemeClr w14:val="tx1"/>
            </w14:solidFill>
          </w14:textFill>
        </w:rPr>
      </w:pPr>
    </w:p>
    <w:p>
      <w:pPr>
        <w:ind w:firstLine="600" w:firstLineChars="200"/>
        <w:jc w:val="center"/>
        <w:rPr>
          <w:rFonts w:hint="eastAsia" w:ascii="方正小标宋简体" w:hAnsi="方正小标宋简体" w:eastAsia="方正小标宋简体" w:cs="方正小标宋简体"/>
          <w:bCs/>
          <w:color w:val="000000" w:themeColor="text1"/>
          <w:kern w:val="0"/>
          <w:sz w:val="30"/>
          <w:szCs w:val="30"/>
          <w14:textFill>
            <w14:solidFill>
              <w14:schemeClr w14:val="tx1"/>
            </w14:solidFill>
          </w14:textFill>
        </w:rPr>
      </w:pPr>
      <w:bookmarkStart w:id="121" w:name="_GoBack"/>
      <w:bookmarkEnd w:id="121"/>
    </w:p>
    <w:p>
      <w:pPr>
        <w:widowControl/>
        <w:shd w:val="clear" w:color="auto" w:fill="FFFFFF"/>
        <w:spacing w:line="420" w:lineRule="atLeast"/>
        <w:jc w:val="both"/>
        <w:rPr>
          <w:rFonts w:ascii="宋体" w:hAnsi="宋体" w:eastAsia="宋体" w:cs="宋体"/>
          <w:color w:val="000000"/>
          <w:kern w:val="0"/>
          <w:sz w:val="28"/>
          <w:szCs w:val="28"/>
          <w:shd w:val="clear" w:color="auto" w:fill="FFFFFF"/>
          <w:lang w:bidi="ar"/>
        </w:rPr>
      </w:pPr>
    </w:p>
    <w:p>
      <w:pPr>
        <w:widowControl/>
        <w:spacing w:line="600" w:lineRule="exact"/>
        <w:jc w:val="center"/>
        <w:rPr>
          <w:rFonts w:ascii="黑体" w:hAnsi="黑体" w:eastAsia="黑体" w:cs="黑体"/>
          <w:bCs/>
          <w:color w:val="000000"/>
          <w:sz w:val="36"/>
          <w:szCs w:val="36"/>
          <w:lang w:bidi="ar"/>
        </w:rPr>
      </w:pPr>
      <w:r>
        <w:rPr>
          <w:rFonts w:hint="eastAsia" w:ascii="黑体" w:hAnsi="黑体" w:eastAsia="黑体" w:cs="黑体"/>
          <w:bCs/>
          <w:color w:val="000000"/>
          <w:sz w:val="36"/>
          <w:szCs w:val="36"/>
          <w:lang w:bidi="ar"/>
        </w:rPr>
        <w:t>山西中医药大学附属医院党委</w:t>
      </w:r>
    </w:p>
    <w:p>
      <w:pPr>
        <w:widowControl/>
        <w:spacing w:line="600" w:lineRule="exact"/>
        <w:jc w:val="center"/>
        <w:rPr>
          <w:rFonts w:ascii="黑体" w:hAnsi="黑体" w:eastAsia="黑体" w:cs="黑体"/>
          <w:bCs/>
          <w:color w:val="000000"/>
          <w:sz w:val="36"/>
          <w:szCs w:val="36"/>
          <w:lang w:bidi="ar"/>
        </w:rPr>
      </w:pPr>
      <w:r>
        <w:rPr>
          <w:rFonts w:hint="eastAsia" w:ascii="黑体" w:hAnsi="黑体" w:eastAsia="黑体" w:cs="黑体"/>
          <w:bCs/>
          <w:color w:val="000000"/>
          <w:sz w:val="36"/>
          <w:szCs w:val="36"/>
          <w:lang w:bidi="ar"/>
        </w:rPr>
        <w:t>2021年</w:t>
      </w:r>
      <w:r>
        <w:rPr>
          <w:rFonts w:hint="eastAsia" w:ascii="黑体" w:hAnsi="黑体" w:eastAsia="黑体" w:cs="黑体"/>
          <w:bCs/>
          <w:color w:val="000000"/>
          <w:sz w:val="36"/>
          <w:szCs w:val="36"/>
          <w:lang w:val="en-US" w:eastAsia="zh-CN" w:bidi="ar"/>
        </w:rPr>
        <w:t>5</w:t>
      </w:r>
      <w:r>
        <w:rPr>
          <w:rFonts w:hint="eastAsia" w:ascii="黑体" w:hAnsi="黑体" w:eastAsia="黑体" w:cs="黑体"/>
          <w:bCs/>
          <w:color w:val="000000"/>
          <w:sz w:val="36"/>
          <w:szCs w:val="36"/>
          <w:lang w:bidi="ar"/>
        </w:rPr>
        <w:t>月</w:t>
      </w:r>
    </w:p>
    <w:p/>
    <w:sdt>
      <w:sdtPr>
        <w:rPr>
          <w:rFonts w:hint="eastAsia" w:ascii="方正小标宋简体" w:hAnsi="方正小标宋简体" w:eastAsia="方正小标宋简体" w:cs="方正小标宋简体"/>
          <w:kern w:val="2"/>
          <w:sz w:val="52"/>
          <w:szCs w:val="52"/>
          <w:lang w:val="en-US" w:eastAsia="zh-CN" w:bidi="ar-SA"/>
        </w:rPr>
        <w:id w:val="147480374"/>
        <w15:color w:val="DBDBDB"/>
        <w:docPartObj>
          <w:docPartGallery w:val="Table of Contents"/>
          <w:docPartUnique/>
        </w:docPartObj>
      </w:sdtPr>
      <w:sdtEndPr>
        <w:rPr>
          <w:rFonts w:hint="eastAsia" w:ascii="仿宋_GB2312" w:hAnsi="仿宋_GB2312" w:eastAsia="仿宋_GB2312" w:cs="仿宋_GB2312"/>
          <w:kern w:val="2"/>
          <w:sz w:val="32"/>
          <w:szCs w:val="32"/>
          <w:lang w:val="en-US" w:eastAsia="zh-CN" w:bidi="ar-SA"/>
        </w:rPr>
      </w:sdtEndPr>
      <w:sdtContent>
        <w:p>
          <w:pPr>
            <w:spacing w:before="0" w:beforeLines="0" w:after="0" w:afterLines="0" w:line="240" w:lineRule="auto"/>
            <w:ind w:left="0" w:leftChars="0" w:right="0" w:rightChars="0" w:firstLine="0" w:firstLineChars="0"/>
            <w:jc w:val="center"/>
            <w:rPr>
              <w:rFonts w:hint="eastAsia" w:ascii="方正小标宋简体" w:hAnsi="方正小标宋简体" w:eastAsia="方正小标宋简体" w:cs="方正小标宋简体"/>
              <w:sz w:val="48"/>
              <w:szCs w:val="48"/>
            </w:rPr>
          </w:pPr>
          <w:r>
            <w:rPr>
              <w:rFonts w:hint="eastAsia" w:ascii="方正小标宋简体" w:hAnsi="方正小标宋简体" w:eastAsia="方正小标宋简体" w:cs="方正小标宋简体"/>
              <w:sz w:val="48"/>
              <w:szCs w:val="48"/>
            </w:rPr>
            <w:t>目</w:t>
          </w:r>
          <w:r>
            <w:rPr>
              <w:rFonts w:hint="eastAsia" w:ascii="方正小标宋简体" w:hAnsi="方正小标宋简体" w:eastAsia="方正小标宋简体" w:cs="方正小标宋简体"/>
              <w:sz w:val="48"/>
              <w:szCs w:val="48"/>
              <w:lang w:val="en-US" w:eastAsia="zh-CN"/>
            </w:rPr>
            <w:t xml:space="preserve">  </w:t>
          </w:r>
          <w:r>
            <w:rPr>
              <w:rFonts w:hint="eastAsia" w:ascii="方正小标宋简体" w:hAnsi="方正小标宋简体" w:eastAsia="方正小标宋简体" w:cs="方正小标宋简体"/>
              <w:sz w:val="48"/>
              <w:szCs w:val="48"/>
            </w:rPr>
            <w:t>录</w:t>
          </w:r>
        </w:p>
        <w:p>
          <w:pPr>
            <w:pStyle w:val="9"/>
            <w:keepNext w:val="0"/>
            <w:keepLines w:val="0"/>
            <w:pageBreakBefore w:val="0"/>
            <w:tabs>
              <w:tab w:val="right" w:leader="dot" w:pos="8296"/>
            </w:tabs>
            <w:kinsoku/>
            <w:wordWrap/>
            <w:overflowPunct/>
            <w:topLinePunct w:val="0"/>
            <w:autoSpaceDE/>
            <w:autoSpaceDN/>
            <w:bidi w:val="0"/>
            <w:adjustRightInd/>
            <w:snapToGrid/>
            <w:spacing w:after="0" w:line="600" w:lineRule="exact"/>
            <w:jc w:val="center"/>
            <w:textAlignment w:val="auto"/>
            <w:rPr>
              <w:rFonts w:hint="eastAsia" w:ascii="楷体_GB2312" w:hAnsi="楷体_GB2312" w:eastAsia="楷体_GB2312" w:cs="楷体_GB2312"/>
              <w:kern w:val="0"/>
              <w:sz w:val="28"/>
              <w:szCs w:val="28"/>
              <w:lang w:val="en-US" w:eastAsia="zh-CN" w:bidi="ar-SA"/>
            </w:rPr>
          </w:pPr>
          <w:r>
            <w:rPr>
              <w:rFonts w:hint="eastAsia" w:ascii="楷体_GB2312" w:hAnsi="楷体_GB2312" w:eastAsia="楷体_GB2312" w:cs="楷体_GB2312"/>
              <w:b/>
              <w:sz w:val="28"/>
              <w:szCs w:val="28"/>
            </w:rPr>
            <w:t>一、党史专题</w:t>
          </w:r>
          <w:r>
            <w:rPr>
              <w:rFonts w:hint="eastAsia" w:ascii="楷体_GB2312" w:hAnsi="楷体_GB2312" w:eastAsia="楷体_GB2312" w:cs="楷体_GB2312"/>
              <w:sz w:val="28"/>
              <w:szCs w:val="28"/>
            </w:rPr>
            <w:fldChar w:fldCharType="begin"/>
          </w:r>
          <w:r>
            <w:rPr>
              <w:rFonts w:hint="eastAsia" w:ascii="楷体_GB2312" w:hAnsi="楷体_GB2312" w:eastAsia="楷体_GB2312" w:cs="楷体_GB2312"/>
              <w:sz w:val="28"/>
              <w:szCs w:val="28"/>
            </w:rPr>
            <w:instrText xml:space="preserve">TOC \o "1-3" \h \u </w:instrText>
          </w:r>
          <w:r>
            <w:rPr>
              <w:rFonts w:hint="eastAsia" w:ascii="楷体_GB2312" w:hAnsi="楷体_GB2312" w:eastAsia="楷体_GB2312" w:cs="楷体_GB2312"/>
              <w:sz w:val="28"/>
              <w:szCs w:val="28"/>
            </w:rPr>
            <w:fldChar w:fldCharType="separate"/>
          </w:r>
        </w:p>
        <w:p>
          <w:pPr>
            <w:pStyle w:val="9"/>
            <w:keepNext w:val="0"/>
            <w:keepLines w:val="0"/>
            <w:pageBreakBefore w:val="0"/>
            <w:tabs>
              <w:tab w:val="right" w:leader="dot" w:pos="8306"/>
            </w:tabs>
            <w:kinsoku/>
            <w:wordWrap/>
            <w:overflowPunct/>
            <w:topLinePunct w:val="0"/>
            <w:autoSpaceDE/>
            <w:autoSpaceDN/>
            <w:bidi w:val="0"/>
            <w:adjustRightInd/>
            <w:snapToGrid/>
            <w:spacing w:line="600" w:lineRule="exact"/>
            <w:textAlignment w:val="auto"/>
            <w:rPr>
              <w:rFonts w:hint="eastAsia" w:ascii="楷体_GB2312" w:hAnsi="楷体_GB2312" w:eastAsia="楷体_GB2312" w:cs="楷体_GB2312"/>
              <w:sz w:val="28"/>
              <w:szCs w:val="28"/>
            </w:rPr>
          </w:pPr>
          <w:r>
            <w:rPr>
              <w:rFonts w:hint="eastAsia" w:ascii="楷体_GB2312" w:hAnsi="楷体_GB2312" w:eastAsia="楷体_GB2312" w:cs="楷体_GB2312"/>
              <w:sz w:val="28"/>
              <w:szCs w:val="28"/>
              <w:lang w:val="en-US" w:eastAsia="zh-CN"/>
            </w:rPr>
            <w:t>1.</w:t>
          </w:r>
          <w:r>
            <w:rPr>
              <w:rFonts w:hint="eastAsia" w:ascii="楷体_GB2312" w:hAnsi="楷体_GB2312" w:eastAsia="楷体_GB2312" w:cs="楷体_GB2312"/>
              <w:sz w:val="28"/>
              <w:szCs w:val="28"/>
              <w:lang w:eastAsia="zh-CN"/>
            </w:rPr>
            <w:t>人民日报评论员：</w:t>
          </w:r>
          <w:r>
            <w:rPr>
              <w:rFonts w:hint="eastAsia" w:ascii="楷体_GB2312" w:hAnsi="楷体_GB2312" w:eastAsia="楷体_GB2312" w:cs="楷体_GB2312"/>
              <w:sz w:val="28"/>
              <w:szCs w:val="28"/>
            </w:rPr>
            <w:fldChar w:fldCharType="begin"/>
          </w:r>
          <w:r>
            <w:rPr>
              <w:rFonts w:hint="eastAsia" w:ascii="楷体_GB2312" w:hAnsi="楷体_GB2312" w:eastAsia="楷体_GB2312" w:cs="楷体_GB2312"/>
              <w:sz w:val="28"/>
              <w:szCs w:val="28"/>
            </w:rPr>
            <w:instrText xml:space="preserve"> HYPERLINK \l _Toc14526 </w:instrText>
          </w:r>
          <w:r>
            <w:rPr>
              <w:rFonts w:hint="eastAsia" w:ascii="楷体_GB2312" w:hAnsi="楷体_GB2312" w:eastAsia="楷体_GB2312" w:cs="楷体_GB2312"/>
              <w:sz w:val="28"/>
              <w:szCs w:val="28"/>
            </w:rPr>
            <w:fldChar w:fldCharType="separate"/>
          </w:r>
          <w:r>
            <w:rPr>
              <w:rFonts w:hint="eastAsia" w:ascii="楷体_GB2312" w:hAnsi="楷体_GB2312" w:eastAsia="楷体_GB2312" w:cs="楷体_GB2312"/>
              <w:bCs/>
              <w:i w:val="0"/>
              <w:caps w:val="0"/>
              <w:spacing w:val="0"/>
              <w:sz w:val="28"/>
              <w:szCs w:val="28"/>
            </w:rPr>
            <w:t>进一步深化对党的性质宗旨的认识</w:t>
          </w:r>
          <w:r>
            <w:rPr>
              <w:rFonts w:hint="eastAsia" w:ascii="楷体_GB2312" w:hAnsi="楷体_GB2312" w:eastAsia="楷体_GB2312" w:cs="楷体_GB2312"/>
              <w:sz w:val="28"/>
              <w:szCs w:val="28"/>
            </w:rPr>
            <w:tab/>
          </w:r>
          <w:r>
            <w:rPr>
              <w:rFonts w:hint="eastAsia" w:ascii="楷体_GB2312" w:hAnsi="楷体_GB2312" w:eastAsia="楷体_GB2312" w:cs="楷体_GB2312"/>
              <w:sz w:val="28"/>
              <w:szCs w:val="28"/>
            </w:rPr>
            <w:fldChar w:fldCharType="begin"/>
          </w:r>
          <w:r>
            <w:rPr>
              <w:rFonts w:hint="eastAsia" w:ascii="楷体_GB2312" w:hAnsi="楷体_GB2312" w:eastAsia="楷体_GB2312" w:cs="楷体_GB2312"/>
              <w:sz w:val="28"/>
              <w:szCs w:val="28"/>
            </w:rPr>
            <w:instrText xml:space="preserve"> PAGEREF _Toc14526 \h </w:instrText>
          </w:r>
          <w:r>
            <w:rPr>
              <w:rFonts w:hint="eastAsia" w:ascii="楷体_GB2312" w:hAnsi="楷体_GB2312" w:eastAsia="楷体_GB2312" w:cs="楷体_GB2312"/>
              <w:sz w:val="28"/>
              <w:szCs w:val="28"/>
            </w:rPr>
            <w:fldChar w:fldCharType="separate"/>
          </w:r>
          <w:r>
            <w:rPr>
              <w:rFonts w:hint="eastAsia" w:ascii="楷体_GB2312" w:hAnsi="楷体_GB2312" w:eastAsia="楷体_GB2312" w:cs="楷体_GB2312"/>
              <w:sz w:val="28"/>
              <w:szCs w:val="28"/>
            </w:rPr>
            <w:t>1</w:t>
          </w:r>
          <w:r>
            <w:rPr>
              <w:rFonts w:hint="eastAsia" w:ascii="楷体_GB2312" w:hAnsi="楷体_GB2312" w:eastAsia="楷体_GB2312" w:cs="楷体_GB2312"/>
              <w:sz w:val="28"/>
              <w:szCs w:val="28"/>
            </w:rPr>
            <w:fldChar w:fldCharType="end"/>
          </w:r>
          <w:r>
            <w:rPr>
              <w:rFonts w:hint="eastAsia" w:ascii="楷体_GB2312" w:hAnsi="楷体_GB2312" w:eastAsia="楷体_GB2312" w:cs="楷体_GB2312"/>
              <w:sz w:val="28"/>
              <w:szCs w:val="28"/>
            </w:rPr>
            <w:fldChar w:fldCharType="end"/>
          </w:r>
        </w:p>
        <w:p>
          <w:pPr>
            <w:pStyle w:val="9"/>
            <w:keepNext w:val="0"/>
            <w:keepLines w:val="0"/>
            <w:pageBreakBefore w:val="0"/>
            <w:tabs>
              <w:tab w:val="right" w:leader="dot" w:pos="8306"/>
            </w:tabs>
            <w:kinsoku/>
            <w:wordWrap/>
            <w:overflowPunct/>
            <w:topLinePunct w:val="0"/>
            <w:autoSpaceDE/>
            <w:autoSpaceDN/>
            <w:bidi w:val="0"/>
            <w:adjustRightInd/>
            <w:snapToGrid/>
            <w:spacing w:line="600" w:lineRule="exact"/>
            <w:textAlignment w:val="auto"/>
            <w:rPr>
              <w:rFonts w:hint="eastAsia" w:ascii="楷体_GB2312" w:hAnsi="楷体_GB2312" w:eastAsia="楷体_GB2312" w:cs="楷体_GB2312"/>
              <w:sz w:val="28"/>
              <w:szCs w:val="28"/>
            </w:rPr>
          </w:pPr>
          <w:r>
            <w:rPr>
              <w:rFonts w:hint="eastAsia" w:ascii="楷体_GB2312" w:hAnsi="楷体_GB2312" w:eastAsia="楷体_GB2312" w:cs="楷体_GB2312"/>
              <w:sz w:val="28"/>
              <w:szCs w:val="28"/>
              <w:lang w:val="en-US" w:eastAsia="zh-CN"/>
            </w:rPr>
            <w:t>2.</w:t>
          </w:r>
          <w:r>
            <w:rPr>
              <w:rFonts w:hint="eastAsia" w:ascii="楷体_GB2312" w:hAnsi="楷体_GB2312" w:eastAsia="楷体_GB2312" w:cs="楷体_GB2312"/>
              <w:sz w:val="28"/>
              <w:szCs w:val="28"/>
              <w:lang w:eastAsia="zh-CN"/>
            </w:rPr>
            <w:t>人民日报评论员：</w:t>
          </w:r>
          <w:r>
            <w:rPr>
              <w:rFonts w:hint="eastAsia" w:ascii="楷体_GB2312" w:hAnsi="楷体_GB2312" w:eastAsia="楷体_GB2312" w:cs="楷体_GB2312"/>
              <w:sz w:val="28"/>
              <w:szCs w:val="28"/>
            </w:rPr>
            <w:fldChar w:fldCharType="begin"/>
          </w:r>
          <w:r>
            <w:rPr>
              <w:rFonts w:hint="eastAsia" w:ascii="楷体_GB2312" w:hAnsi="楷体_GB2312" w:eastAsia="楷体_GB2312" w:cs="楷体_GB2312"/>
              <w:sz w:val="28"/>
              <w:szCs w:val="28"/>
            </w:rPr>
            <w:instrText xml:space="preserve"> HYPERLINK \l _Toc19763 </w:instrText>
          </w:r>
          <w:r>
            <w:rPr>
              <w:rFonts w:hint="eastAsia" w:ascii="楷体_GB2312" w:hAnsi="楷体_GB2312" w:eastAsia="楷体_GB2312" w:cs="楷体_GB2312"/>
              <w:sz w:val="28"/>
              <w:szCs w:val="28"/>
            </w:rPr>
            <w:fldChar w:fldCharType="separate"/>
          </w:r>
          <w:r>
            <w:rPr>
              <w:rFonts w:hint="eastAsia" w:ascii="楷体_GB2312" w:hAnsi="楷体_GB2312" w:eastAsia="楷体_GB2312" w:cs="楷体_GB2312"/>
              <w:i w:val="0"/>
              <w:caps w:val="0"/>
              <w:spacing w:val="0"/>
              <w:sz w:val="28"/>
              <w:szCs w:val="28"/>
            </w:rPr>
            <w:t>“永远跟党走”，吹响接续奋斗的号角</w:t>
          </w:r>
          <w:r>
            <w:rPr>
              <w:rFonts w:hint="eastAsia" w:ascii="楷体_GB2312" w:hAnsi="楷体_GB2312" w:eastAsia="楷体_GB2312" w:cs="楷体_GB2312"/>
              <w:sz w:val="28"/>
              <w:szCs w:val="28"/>
            </w:rPr>
            <w:tab/>
          </w:r>
          <w:r>
            <w:rPr>
              <w:rFonts w:hint="eastAsia" w:ascii="楷体_GB2312" w:hAnsi="楷体_GB2312" w:eastAsia="楷体_GB2312" w:cs="楷体_GB2312"/>
              <w:sz w:val="28"/>
              <w:szCs w:val="28"/>
            </w:rPr>
            <w:fldChar w:fldCharType="begin"/>
          </w:r>
          <w:r>
            <w:rPr>
              <w:rFonts w:hint="eastAsia" w:ascii="楷体_GB2312" w:hAnsi="楷体_GB2312" w:eastAsia="楷体_GB2312" w:cs="楷体_GB2312"/>
              <w:sz w:val="28"/>
              <w:szCs w:val="28"/>
            </w:rPr>
            <w:instrText xml:space="preserve"> PAGEREF _Toc19763 \h </w:instrText>
          </w:r>
          <w:r>
            <w:rPr>
              <w:rFonts w:hint="eastAsia" w:ascii="楷体_GB2312" w:hAnsi="楷体_GB2312" w:eastAsia="楷体_GB2312" w:cs="楷体_GB2312"/>
              <w:sz w:val="28"/>
              <w:szCs w:val="28"/>
            </w:rPr>
            <w:fldChar w:fldCharType="separate"/>
          </w:r>
          <w:r>
            <w:rPr>
              <w:rFonts w:hint="eastAsia" w:ascii="楷体_GB2312" w:hAnsi="楷体_GB2312" w:eastAsia="楷体_GB2312" w:cs="楷体_GB2312"/>
              <w:sz w:val="28"/>
              <w:szCs w:val="28"/>
            </w:rPr>
            <w:t>5</w:t>
          </w:r>
          <w:r>
            <w:rPr>
              <w:rFonts w:hint="eastAsia" w:ascii="楷体_GB2312" w:hAnsi="楷体_GB2312" w:eastAsia="楷体_GB2312" w:cs="楷体_GB2312"/>
              <w:sz w:val="28"/>
              <w:szCs w:val="28"/>
            </w:rPr>
            <w:fldChar w:fldCharType="end"/>
          </w:r>
          <w:r>
            <w:rPr>
              <w:rFonts w:hint="eastAsia" w:ascii="楷体_GB2312" w:hAnsi="楷体_GB2312" w:eastAsia="楷体_GB2312" w:cs="楷体_GB2312"/>
              <w:sz w:val="28"/>
              <w:szCs w:val="28"/>
            </w:rPr>
            <w:fldChar w:fldCharType="end"/>
          </w:r>
        </w:p>
        <w:p>
          <w:pPr>
            <w:pStyle w:val="9"/>
            <w:keepNext w:val="0"/>
            <w:keepLines w:val="0"/>
            <w:pageBreakBefore w:val="0"/>
            <w:tabs>
              <w:tab w:val="right" w:leader="dot" w:pos="8306"/>
            </w:tabs>
            <w:kinsoku/>
            <w:wordWrap/>
            <w:overflowPunct/>
            <w:topLinePunct w:val="0"/>
            <w:autoSpaceDE/>
            <w:autoSpaceDN/>
            <w:bidi w:val="0"/>
            <w:adjustRightInd/>
            <w:snapToGrid/>
            <w:spacing w:line="600" w:lineRule="exact"/>
            <w:textAlignment w:val="auto"/>
            <w:rPr>
              <w:rFonts w:hint="eastAsia" w:ascii="楷体_GB2312" w:hAnsi="楷体_GB2312" w:eastAsia="楷体_GB2312" w:cs="楷体_GB2312"/>
              <w:sz w:val="28"/>
              <w:szCs w:val="28"/>
            </w:rPr>
          </w:pPr>
          <w:r>
            <w:rPr>
              <w:rFonts w:hint="eastAsia" w:ascii="楷体_GB2312" w:hAnsi="楷体_GB2312" w:eastAsia="楷体_GB2312" w:cs="楷体_GB2312"/>
              <w:sz w:val="28"/>
              <w:szCs w:val="28"/>
              <w:lang w:val="en-US" w:eastAsia="zh-CN"/>
            </w:rPr>
            <w:t>3.</w:t>
          </w:r>
          <w:r>
            <w:rPr>
              <w:rFonts w:hint="eastAsia" w:ascii="楷体_GB2312" w:hAnsi="楷体_GB2312" w:eastAsia="楷体_GB2312" w:cs="楷体_GB2312"/>
              <w:sz w:val="28"/>
              <w:szCs w:val="28"/>
              <w:lang w:eastAsia="zh-CN"/>
            </w:rPr>
            <w:t>人民日报评论员：</w:t>
          </w:r>
          <w:r>
            <w:rPr>
              <w:rFonts w:hint="eastAsia" w:ascii="楷体_GB2312" w:hAnsi="楷体_GB2312" w:eastAsia="楷体_GB2312" w:cs="楷体_GB2312"/>
              <w:sz w:val="28"/>
              <w:szCs w:val="28"/>
            </w:rPr>
            <w:fldChar w:fldCharType="begin"/>
          </w:r>
          <w:r>
            <w:rPr>
              <w:rFonts w:hint="eastAsia" w:ascii="楷体_GB2312" w:hAnsi="楷体_GB2312" w:eastAsia="楷体_GB2312" w:cs="楷体_GB2312"/>
              <w:sz w:val="28"/>
              <w:szCs w:val="28"/>
            </w:rPr>
            <w:instrText xml:space="preserve"> HYPERLINK \l _Toc29659 </w:instrText>
          </w:r>
          <w:r>
            <w:rPr>
              <w:rFonts w:hint="eastAsia" w:ascii="楷体_GB2312" w:hAnsi="楷体_GB2312" w:eastAsia="楷体_GB2312" w:cs="楷体_GB2312"/>
              <w:sz w:val="28"/>
              <w:szCs w:val="28"/>
            </w:rPr>
            <w:fldChar w:fldCharType="separate"/>
          </w:r>
          <w:r>
            <w:rPr>
              <w:rFonts w:hint="eastAsia" w:ascii="楷体_GB2312" w:hAnsi="楷体_GB2312" w:eastAsia="楷体_GB2312" w:cs="楷体_GB2312"/>
              <w:bCs/>
              <w:i w:val="0"/>
              <w:caps w:val="0"/>
              <w:spacing w:val="0"/>
              <w:sz w:val="28"/>
              <w:szCs w:val="28"/>
            </w:rPr>
            <w:t>学史崇德，赓续精神葆本色</w:t>
          </w:r>
          <w:r>
            <w:rPr>
              <w:rFonts w:hint="eastAsia" w:ascii="楷体_GB2312" w:hAnsi="楷体_GB2312" w:eastAsia="楷体_GB2312" w:cs="楷体_GB2312"/>
              <w:sz w:val="28"/>
              <w:szCs w:val="28"/>
            </w:rPr>
            <w:tab/>
          </w:r>
          <w:r>
            <w:rPr>
              <w:rFonts w:hint="eastAsia" w:ascii="楷体_GB2312" w:hAnsi="楷体_GB2312" w:eastAsia="楷体_GB2312" w:cs="楷体_GB2312"/>
              <w:sz w:val="28"/>
              <w:szCs w:val="28"/>
            </w:rPr>
            <w:fldChar w:fldCharType="begin"/>
          </w:r>
          <w:r>
            <w:rPr>
              <w:rFonts w:hint="eastAsia" w:ascii="楷体_GB2312" w:hAnsi="楷体_GB2312" w:eastAsia="楷体_GB2312" w:cs="楷体_GB2312"/>
              <w:sz w:val="28"/>
              <w:szCs w:val="28"/>
            </w:rPr>
            <w:instrText xml:space="preserve"> PAGEREF _Toc29659 \h </w:instrText>
          </w:r>
          <w:r>
            <w:rPr>
              <w:rFonts w:hint="eastAsia" w:ascii="楷体_GB2312" w:hAnsi="楷体_GB2312" w:eastAsia="楷体_GB2312" w:cs="楷体_GB2312"/>
              <w:sz w:val="28"/>
              <w:szCs w:val="28"/>
            </w:rPr>
            <w:fldChar w:fldCharType="separate"/>
          </w:r>
          <w:r>
            <w:rPr>
              <w:rFonts w:hint="eastAsia" w:ascii="楷体_GB2312" w:hAnsi="楷体_GB2312" w:eastAsia="楷体_GB2312" w:cs="楷体_GB2312"/>
              <w:sz w:val="28"/>
              <w:szCs w:val="28"/>
            </w:rPr>
            <w:t>8</w:t>
          </w:r>
          <w:r>
            <w:rPr>
              <w:rFonts w:hint="eastAsia" w:ascii="楷体_GB2312" w:hAnsi="楷体_GB2312" w:eastAsia="楷体_GB2312" w:cs="楷体_GB2312"/>
              <w:sz w:val="28"/>
              <w:szCs w:val="28"/>
            </w:rPr>
            <w:fldChar w:fldCharType="end"/>
          </w:r>
          <w:r>
            <w:rPr>
              <w:rFonts w:hint="eastAsia" w:ascii="楷体_GB2312" w:hAnsi="楷体_GB2312" w:eastAsia="楷体_GB2312" w:cs="楷体_GB2312"/>
              <w:sz w:val="28"/>
              <w:szCs w:val="28"/>
            </w:rPr>
            <w:fldChar w:fldCharType="end"/>
          </w:r>
        </w:p>
        <w:p>
          <w:pPr>
            <w:pStyle w:val="9"/>
            <w:keepNext w:val="0"/>
            <w:keepLines w:val="0"/>
            <w:pageBreakBefore w:val="0"/>
            <w:tabs>
              <w:tab w:val="right" w:leader="dot" w:pos="8306"/>
            </w:tabs>
            <w:kinsoku/>
            <w:wordWrap/>
            <w:overflowPunct/>
            <w:topLinePunct w:val="0"/>
            <w:autoSpaceDE/>
            <w:autoSpaceDN/>
            <w:bidi w:val="0"/>
            <w:adjustRightInd/>
            <w:snapToGrid/>
            <w:spacing w:line="600" w:lineRule="exact"/>
            <w:textAlignment w:val="auto"/>
            <w:rPr>
              <w:rFonts w:hint="eastAsia" w:ascii="楷体_GB2312" w:hAnsi="楷体_GB2312" w:eastAsia="楷体_GB2312" w:cs="楷体_GB2312"/>
              <w:sz w:val="28"/>
              <w:szCs w:val="28"/>
            </w:rPr>
          </w:pPr>
          <w:r>
            <w:rPr>
              <w:rFonts w:hint="eastAsia" w:ascii="楷体_GB2312" w:hAnsi="楷体_GB2312" w:eastAsia="楷体_GB2312" w:cs="楷体_GB2312"/>
              <w:sz w:val="28"/>
              <w:szCs w:val="28"/>
              <w:lang w:val="en-US" w:eastAsia="zh-CN"/>
            </w:rPr>
            <w:t>4.</w:t>
          </w:r>
          <w:r>
            <w:rPr>
              <w:rFonts w:hint="eastAsia" w:ascii="楷体_GB2312" w:hAnsi="楷体_GB2312" w:eastAsia="楷体_GB2312" w:cs="楷体_GB2312"/>
              <w:sz w:val="28"/>
              <w:szCs w:val="28"/>
              <w:lang w:eastAsia="zh-CN"/>
            </w:rPr>
            <w:t>人民日报评论员：</w:t>
          </w:r>
          <w:r>
            <w:rPr>
              <w:rFonts w:hint="eastAsia" w:ascii="楷体_GB2312" w:hAnsi="楷体_GB2312" w:eastAsia="楷体_GB2312" w:cs="楷体_GB2312"/>
              <w:sz w:val="28"/>
              <w:szCs w:val="28"/>
            </w:rPr>
            <w:fldChar w:fldCharType="begin"/>
          </w:r>
          <w:r>
            <w:rPr>
              <w:rFonts w:hint="eastAsia" w:ascii="楷体_GB2312" w:hAnsi="楷体_GB2312" w:eastAsia="楷体_GB2312" w:cs="楷体_GB2312"/>
              <w:sz w:val="28"/>
              <w:szCs w:val="28"/>
            </w:rPr>
            <w:instrText xml:space="preserve"> HYPERLINK \l _Toc7367 </w:instrText>
          </w:r>
          <w:r>
            <w:rPr>
              <w:rFonts w:hint="eastAsia" w:ascii="楷体_GB2312" w:hAnsi="楷体_GB2312" w:eastAsia="楷体_GB2312" w:cs="楷体_GB2312"/>
              <w:sz w:val="28"/>
              <w:szCs w:val="28"/>
            </w:rPr>
            <w:fldChar w:fldCharType="separate"/>
          </w:r>
          <w:r>
            <w:rPr>
              <w:rFonts w:hint="eastAsia" w:ascii="楷体_GB2312" w:hAnsi="楷体_GB2312" w:eastAsia="楷体_GB2312" w:cs="楷体_GB2312"/>
              <w:sz w:val="28"/>
              <w:szCs w:val="28"/>
            </w:rPr>
            <w:t>学史力行，为人民办实事谋福祉</w:t>
          </w:r>
          <w:r>
            <w:rPr>
              <w:rFonts w:hint="eastAsia" w:ascii="楷体_GB2312" w:hAnsi="楷体_GB2312" w:eastAsia="楷体_GB2312" w:cs="楷体_GB2312"/>
              <w:sz w:val="28"/>
              <w:szCs w:val="28"/>
            </w:rPr>
            <w:tab/>
          </w:r>
          <w:r>
            <w:rPr>
              <w:rFonts w:hint="eastAsia" w:ascii="楷体_GB2312" w:hAnsi="楷体_GB2312" w:eastAsia="楷体_GB2312" w:cs="楷体_GB2312"/>
              <w:sz w:val="28"/>
              <w:szCs w:val="28"/>
            </w:rPr>
            <w:fldChar w:fldCharType="begin"/>
          </w:r>
          <w:r>
            <w:rPr>
              <w:rFonts w:hint="eastAsia" w:ascii="楷体_GB2312" w:hAnsi="楷体_GB2312" w:eastAsia="楷体_GB2312" w:cs="楷体_GB2312"/>
              <w:sz w:val="28"/>
              <w:szCs w:val="28"/>
            </w:rPr>
            <w:instrText xml:space="preserve"> PAGEREF _Toc7367 \h </w:instrText>
          </w:r>
          <w:r>
            <w:rPr>
              <w:rFonts w:hint="eastAsia" w:ascii="楷体_GB2312" w:hAnsi="楷体_GB2312" w:eastAsia="楷体_GB2312" w:cs="楷体_GB2312"/>
              <w:sz w:val="28"/>
              <w:szCs w:val="28"/>
            </w:rPr>
            <w:fldChar w:fldCharType="separate"/>
          </w:r>
          <w:r>
            <w:rPr>
              <w:rFonts w:hint="eastAsia" w:ascii="楷体_GB2312" w:hAnsi="楷体_GB2312" w:eastAsia="楷体_GB2312" w:cs="楷体_GB2312"/>
              <w:sz w:val="28"/>
              <w:szCs w:val="28"/>
            </w:rPr>
            <w:t>11</w:t>
          </w:r>
          <w:r>
            <w:rPr>
              <w:rFonts w:hint="eastAsia" w:ascii="楷体_GB2312" w:hAnsi="楷体_GB2312" w:eastAsia="楷体_GB2312" w:cs="楷体_GB2312"/>
              <w:sz w:val="28"/>
              <w:szCs w:val="28"/>
            </w:rPr>
            <w:fldChar w:fldCharType="end"/>
          </w:r>
          <w:r>
            <w:rPr>
              <w:rFonts w:hint="eastAsia" w:ascii="楷体_GB2312" w:hAnsi="楷体_GB2312" w:eastAsia="楷体_GB2312" w:cs="楷体_GB2312"/>
              <w:sz w:val="28"/>
              <w:szCs w:val="28"/>
            </w:rPr>
            <w:fldChar w:fldCharType="end"/>
          </w:r>
        </w:p>
        <w:p>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楷体_GB2312" w:hAnsi="楷体_GB2312" w:eastAsia="楷体_GB2312" w:cs="楷体_GB2312"/>
              <w:sz w:val="28"/>
              <w:szCs w:val="28"/>
            </w:rPr>
          </w:pPr>
          <w:r>
            <w:rPr>
              <w:rFonts w:hint="eastAsia" w:ascii="楷体_GB2312" w:hAnsi="楷体_GB2312" w:eastAsia="楷体_GB2312" w:cs="楷体_GB2312"/>
              <w:b/>
              <w:bCs/>
              <w:sz w:val="28"/>
              <w:szCs w:val="28"/>
              <w:lang w:eastAsia="zh-CN"/>
            </w:rPr>
            <w:t>二、最新讲话和会议精神</w:t>
          </w:r>
        </w:p>
        <w:p>
          <w:pPr>
            <w:pStyle w:val="9"/>
            <w:keepNext w:val="0"/>
            <w:keepLines w:val="0"/>
            <w:pageBreakBefore w:val="0"/>
            <w:tabs>
              <w:tab w:val="right" w:leader="dot" w:pos="8306"/>
            </w:tabs>
            <w:kinsoku/>
            <w:wordWrap/>
            <w:overflowPunct/>
            <w:topLinePunct w:val="0"/>
            <w:autoSpaceDE/>
            <w:autoSpaceDN/>
            <w:bidi w:val="0"/>
            <w:adjustRightInd/>
            <w:snapToGrid/>
            <w:spacing w:line="600" w:lineRule="exact"/>
            <w:textAlignment w:val="auto"/>
            <w:rPr>
              <w:rFonts w:hint="eastAsia" w:ascii="楷体_GB2312" w:hAnsi="楷体_GB2312" w:eastAsia="楷体_GB2312" w:cs="楷体_GB2312"/>
              <w:sz w:val="28"/>
              <w:szCs w:val="28"/>
            </w:rPr>
          </w:pPr>
          <w:r>
            <w:rPr>
              <w:rFonts w:hint="eastAsia" w:ascii="楷体_GB2312" w:hAnsi="楷体_GB2312" w:eastAsia="楷体_GB2312" w:cs="楷体_GB2312"/>
              <w:sz w:val="28"/>
              <w:szCs w:val="28"/>
              <w:lang w:val="en-US" w:eastAsia="zh-CN"/>
            </w:rPr>
            <w:t>5.</w:t>
          </w:r>
          <w:r>
            <w:rPr>
              <w:rFonts w:hint="eastAsia" w:ascii="楷体_GB2312" w:hAnsi="楷体_GB2312" w:eastAsia="楷体_GB2312" w:cs="楷体_GB2312"/>
              <w:sz w:val="28"/>
              <w:szCs w:val="28"/>
            </w:rPr>
            <w:fldChar w:fldCharType="begin"/>
          </w:r>
          <w:r>
            <w:rPr>
              <w:rFonts w:hint="eastAsia" w:ascii="楷体_GB2312" w:hAnsi="楷体_GB2312" w:eastAsia="楷体_GB2312" w:cs="楷体_GB2312"/>
              <w:sz w:val="28"/>
              <w:szCs w:val="28"/>
            </w:rPr>
            <w:instrText xml:space="preserve"> HYPERLINK \l _Toc21051 </w:instrText>
          </w:r>
          <w:r>
            <w:rPr>
              <w:rFonts w:hint="eastAsia" w:ascii="楷体_GB2312" w:hAnsi="楷体_GB2312" w:eastAsia="楷体_GB2312" w:cs="楷体_GB2312"/>
              <w:sz w:val="28"/>
              <w:szCs w:val="28"/>
            </w:rPr>
            <w:fldChar w:fldCharType="separate"/>
          </w:r>
          <w:r>
            <w:rPr>
              <w:rFonts w:hint="eastAsia" w:ascii="楷体_GB2312" w:hAnsi="楷体_GB2312" w:eastAsia="楷体_GB2312" w:cs="楷体_GB2312"/>
              <w:bCs/>
              <w:i w:val="0"/>
              <w:caps w:val="0"/>
              <w:spacing w:val="0"/>
              <w:sz w:val="28"/>
              <w:szCs w:val="28"/>
              <w:shd w:val="clear" w:fill="FFFFFF"/>
            </w:rPr>
            <w:t>习近平在党史学习教育动员大会上</w:t>
          </w:r>
          <w:r>
            <w:rPr>
              <w:rFonts w:hint="eastAsia" w:ascii="楷体_GB2312" w:hAnsi="楷体_GB2312" w:eastAsia="楷体_GB2312" w:cs="楷体_GB2312"/>
              <w:bCs/>
              <w:i w:val="0"/>
              <w:caps w:val="0"/>
              <w:spacing w:val="0"/>
              <w:sz w:val="28"/>
              <w:szCs w:val="28"/>
              <w:shd w:val="clear" w:fill="FFFFFF"/>
              <w:lang w:eastAsia="zh-CN"/>
            </w:rPr>
            <w:t>发表重要讲话</w:t>
          </w:r>
          <w:r>
            <w:rPr>
              <w:rFonts w:hint="eastAsia" w:ascii="楷体_GB2312" w:hAnsi="楷体_GB2312" w:eastAsia="楷体_GB2312" w:cs="楷体_GB2312"/>
              <w:bCs/>
              <w:i w:val="0"/>
              <w:caps w:val="0"/>
              <w:spacing w:val="0"/>
              <w:sz w:val="28"/>
              <w:szCs w:val="28"/>
              <w:shd w:val="clear" w:fill="FFFFFF"/>
            </w:rPr>
            <w:t> </w:t>
          </w:r>
          <w:r>
            <w:rPr>
              <w:rFonts w:hint="eastAsia" w:ascii="楷体_GB2312" w:hAnsi="楷体_GB2312" w:eastAsia="楷体_GB2312" w:cs="楷体_GB2312"/>
              <w:sz w:val="28"/>
              <w:szCs w:val="28"/>
            </w:rPr>
            <w:tab/>
          </w:r>
          <w:r>
            <w:rPr>
              <w:rFonts w:hint="eastAsia" w:ascii="楷体_GB2312" w:hAnsi="楷体_GB2312" w:eastAsia="楷体_GB2312" w:cs="楷体_GB2312"/>
              <w:sz w:val="28"/>
              <w:szCs w:val="28"/>
            </w:rPr>
            <w:fldChar w:fldCharType="begin"/>
          </w:r>
          <w:r>
            <w:rPr>
              <w:rFonts w:hint="eastAsia" w:ascii="楷体_GB2312" w:hAnsi="楷体_GB2312" w:eastAsia="楷体_GB2312" w:cs="楷体_GB2312"/>
              <w:sz w:val="28"/>
              <w:szCs w:val="28"/>
            </w:rPr>
            <w:instrText xml:space="preserve"> PAGEREF _Toc21051 \h </w:instrText>
          </w:r>
          <w:r>
            <w:rPr>
              <w:rFonts w:hint="eastAsia" w:ascii="楷体_GB2312" w:hAnsi="楷体_GB2312" w:eastAsia="楷体_GB2312" w:cs="楷体_GB2312"/>
              <w:sz w:val="28"/>
              <w:szCs w:val="28"/>
            </w:rPr>
            <w:fldChar w:fldCharType="separate"/>
          </w:r>
          <w:r>
            <w:rPr>
              <w:rFonts w:hint="eastAsia" w:ascii="楷体_GB2312" w:hAnsi="楷体_GB2312" w:eastAsia="楷体_GB2312" w:cs="楷体_GB2312"/>
              <w:sz w:val="28"/>
              <w:szCs w:val="28"/>
            </w:rPr>
            <w:t>14</w:t>
          </w:r>
          <w:r>
            <w:rPr>
              <w:rFonts w:hint="eastAsia" w:ascii="楷体_GB2312" w:hAnsi="楷体_GB2312" w:eastAsia="楷体_GB2312" w:cs="楷体_GB2312"/>
              <w:sz w:val="28"/>
              <w:szCs w:val="28"/>
            </w:rPr>
            <w:fldChar w:fldCharType="end"/>
          </w:r>
          <w:r>
            <w:rPr>
              <w:rFonts w:hint="eastAsia" w:ascii="楷体_GB2312" w:hAnsi="楷体_GB2312" w:eastAsia="楷体_GB2312" w:cs="楷体_GB2312"/>
              <w:sz w:val="28"/>
              <w:szCs w:val="28"/>
            </w:rPr>
            <w:fldChar w:fldCharType="end"/>
          </w:r>
        </w:p>
        <w:p>
          <w:pPr>
            <w:pStyle w:val="9"/>
            <w:keepNext w:val="0"/>
            <w:keepLines w:val="0"/>
            <w:pageBreakBefore w:val="0"/>
            <w:tabs>
              <w:tab w:val="right" w:leader="dot" w:pos="8306"/>
            </w:tabs>
            <w:kinsoku/>
            <w:wordWrap/>
            <w:overflowPunct/>
            <w:topLinePunct w:val="0"/>
            <w:autoSpaceDE/>
            <w:autoSpaceDN/>
            <w:bidi w:val="0"/>
            <w:adjustRightInd/>
            <w:snapToGrid/>
            <w:spacing w:line="600" w:lineRule="exact"/>
            <w:textAlignment w:val="auto"/>
            <w:rPr>
              <w:rFonts w:hint="eastAsia" w:ascii="楷体_GB2312" w:hAnsi="楷体_GB2312" w:eastAsia="楷体_GB2312" w:cs="楷体_GB2312"/>
              <w:sz w:val="28"/>
              <w:szCs w:val="28"/>
            </w:rPr>
          </w:pPr>
          <w:r>
            <w:rPr>
              <w:rFonts w:hint="eastAsia" w:ascii="楷体_GB2312" w:hAnsi="楷体_GB2312" w:eastAsia="楷体_GB2312" w:cs="楷体_GB2312"/>
              <w:sz w:val="28"/>
              <w:szCs w:val="28"/>
              <w:lang w:val="en-US" w:eastAsia="zh-CN"/>
            </w:rPr>
            <w:t>6.</w:t>
          </w:r>
          <w:r>
            <w:rPr>
              <w:rFonts w:hint="eastAsia" w:ascii="楷体_GB2312" w:hAnsi="楷体_GB2312" w:eastAsia="楷体_GB2312" w:cs="楷体_GB2312"/>
              <w:sz w:val="28"/>
              <w:szCs w:val="28"/>
            </w:rPr>
            <w:fldChar w:fldCharType="begin"/>
          </w:r>
          <w:r>
            <w:rPr>
              <w:rFonts w:hint="eastAsia" w:ascii="楷体_GB2312" w:hAnsi="楷体_GB2312" w:eastAsia="楷体_GB2312" w:cs="楷体_GB2312"/>
              <w:sz w:val="28"/>
              <w:szCs w:val="28"/>
            </w:rPr>
            <w:instrText xml:space="preserve"> HYPERLINK \l _Toc22310 </w:instrText>
          </w:r>
          <w:r>
            <w:rPr>
              <w:rFonts w:hint="eastAsia" w:ascii="楷体_GB2312" w:hAnsi="楷体_GB2312" w:eastAsia="楷体_GB2312" w:cs="楷体_GB2312"/>
              <w:sz w:val="28"/>
              <w:szCs w:val="28"/>
            </w:rPr>
            <w:fldChar w:fldCharType="separate"/>
          </w:r>
          <w:r>
            <w:rPr>
              <w:rFonts w:hint="eastAsia" w:ascii="楷体_GB2312" w:hAnsi="楷体_GB2312" w:eastAsia="楷体_GB2312" w:cs="楷体_GB2312"/>
              <w:i w:val="0"/>
              <w:caps w:val="0"/>
              <w:spacing w:val="0"/>
              <w:sz w:val="28"/>
              <w:szCs w:val="28"/>
              <w:shd w:val="clear" w:fill="FFFFFF"/>
            </w:rPr>
            <w:t>习近平在广西考察时强调 解放思想深化改革凝心聚力担当实干 建设新时代中国特色社会主义壮美广西</w:t>
          </w:r>
          <w:r>
            <w:rPr>
              <w:rFonts w:hint="eastAsia" w:ascii="楷体_GB2312" w:hAnsi="楷体_GB2312" w:eastAsia="楷体_GB2312" w:cs="楷体_GB2312"/>
              <w:sz w:val="28"/>
              <w:szCs w:val="28"/>
            </w:rPr>
            <w:tab/>
          </w:r>
          <w:r>
            <w:rPr>
              <w:rFonts w:hint="eastAsia" w:ascii="楷体_GB2312" w:hAnsi="楷体_GB2312" w:eastAsia="楷体_GB2312" w:cs="楷体_GB2312"/>
              <w:sz w:val="28"/>
              <w:szCs w:val="28"/>
            </w:rPr>
            <w:fldChar w:fldCharType="begin"/>
          </w:r>
          <w:r>
            <w:rPr>
              <w:rFonts w:hint="eastAsia" w:ascii="楷体_GB2312" w:hAnsi="楷体_GB2312" w:eastAsia="楷体_GB2312" w:cs="楷体_GB2312"/>
              <w:sz w:val="28"/>
              <w:szCs w:val="28"/>
            </w:rPr>
            <w:instrText xml:space="preserve"> PAGEREF _Toc22310 \h </w:instrText>
          </w:r>
          <w:r>
            <w:rPr>
              <w:rFonts w:hint="eastAsia" w:ascii="楷体_GB2312" w:hAnsi="楷体_GB2312" w:eastAsia="楷体_GB2312" w:cs="楷体_GB2312"/>
              <w:sz w:val="28"/>
              <w:szCs w:val="28"/>
            </w:rPr>
            <w:fldChar w:fldCharType="separate"/>
          </w:r>
          <w:r>
            <w:rPr>
              <w:rFonts w:hint="eastAsia" w:ascii="楷体_GB2312" w:hAnsi="楷体_GB2312" w:eastAsia="楷体_GB2312" w:cs="楷体_GB2312"/>
              <w:sz w:val="28"/>
              <w:szCs w:val="28"/>
            </w:rPr>
            <w:t>23</w:t>
          </w:r>
          <w:r>
            <w:rPr>
              <w:rFonts w:hint="eastAsia" w:ascii="楷体_GB2312" w:hAnsi="楷体_GB2312" w:eastAsia="楷体_GB2312" w:cs="楷体_GB2312"/>
              <w:sz w:val="28"/>
              <w:szCs w:val="28"/>
            </w:rPr>
            <w:fldChar w:fldCharType="end"/>
          </w:r>
          <w:r>
            <w:rPr>
              <w:rFonts w:hint="eastAsia" w:ascii="楷体_GB2312" w:hAnsi="楷体_GB2312" w:eastAsia="楷体_GB2312" w:cs="楷体_GB2312"/>
              <w:sz w:val="28"/>
              <w:szCs w:val="28"/>
            </w:rPr>
            <w:fldChar w:fldCharType="end"/>
          </w:r>
        </w:p>
        <w:p>
          <w:pPr>
            <w:pStyle w:val="9"/>
            <w:keepNext w:val="0"/>
            <w:keepLines w:val="0"/>
            <w:pageBreakBefore w:val="0"/>
            <w:tabs>
              <w:tab w:val="right" w:leader="dot" w:pos="8306"/>
            </w:tabs>
            <w:kinsoku/>
            <w:wordWrap/>
            <w:overflowPunct/>
            <w:topLinePunct w:val="0"/>
            <w:autoSpaceDE/>
            <w:autoSpaceDN/>
            <w:bidi w:val="0"/>
            <w:adjustRightInd/>
            <w:snapToGrid/>
            <w:spacing w:line="600" w:lineRule="exact"/>
            <w:textAlignment w:val="auto"/>
            <w:rPr>
              <w:rFonts w:hint="eastAsia" w:ascii="楷体_GB2312" w:hAnsi="楷体_GB2312" w:eastAsia="楷体_GB2312" w:cs="楷体_GB2312"/>
              <w:sz w:val="28"/>
              <w:szCs w:val="28"/>
            </w:rPr>
          </w:pPr>
          <w:r>
            <w:rPr>
              <w:rFonts w:hint="eastAsia" w:ascii="楷体_GB2312" w:hAnsi="楷体_GB2312" w:eastAsia="楷体_GB2312" w:cs="楷体_GB2312"/>
              <w:sz w:val="28"/>
              <w:szCs w:val="28"/>
              <w:lang w:val="en-US" w:eastAsia="zh-CN"/>
            </w:rPr>
            <w:t>7.</w:t>
          </w:r>
          <w:r>
            <w:rPr>
              <w:rFonts w:hint="eastAsia" w:ascii="楷体_GB2312" w:hAnsi="楷体_GB2312" w:eastAsia="楷体_GB2312" w:cs="楷体_GB2312"/>
              <w:sz w:val="28"/>
              <w:szCs w:val="28"/>
            </w:rPr>
            <w:fldChar w:fldCharType="begin"/>
          </w:r>
          <w:r>
            <w:rPr>
              <w:rFonts w:hint="eastAsia" w:ascii="楷体_GB2312" w:hAnsi="楷体_GB2312" w:eastAsia="楷体_GB2312" w:cs="楷体_GB2312"/>
              <w:sz w:val="28"/>
              <w:szCs w:val="28"/>
            </w:rPr>
            <w:instrText xml:space="preserve"> HYPERLINK \l _Toc7542 </w:instrText>
          </w:r>
          <w:r>
            <w:rPr>
              <w:rFonts w:hint="eastAsia" w:ascii="楷体_GB2312" w:hAnsi="楷体_GB2312" w:eastAsia="楷体_GB2312" w:cs="楷体_GB2312"/>
              <w:sz w:val="28"/>
              <w:szCs w:val="28"/>
            </w:rPr>
            <w:fldChar w:fldCharType="separate"/>
          </w:r>
          <w:r>
            <w:rPr>
              <w:rFonts w:hint="eastAsia" w:ascii="楷体_GB2312" w:hAnsi="楷体_GB2312" w:eastAsia="楷体_GB2312" w:cs="楷体_GB2312"/>
              <w:bCs/>
              <w:kern w:val="0"/>
              <w:sz w:val="28"/>
              <w:szCs w:val="28"/>
              <w:lang w:val="en-US" w:eastAsia="ja-JP" w:bidi="ar-SA"/>
            </w:rPr>
            <w:t>习近平在清华大学考察时</w:t>
          </w:r>
          <w:r>
            <w:rPr>
              <w:rFonts w:hint="eastAsia" w:ascii="楷体_GB2312" w:hAnsi="楷体_GB2312" w:eastAsia="楷体_GB2312" w:cs="楷体_GB2312"/>
              <w:bCs/>
              <w:kern w:val="0"/>
              <w:sz w:val="28"/>
              <w:szCs w:val="28"/>
              <w:lang w:val="en-US" w:eastAsia="zh-CN" w:bidi="ar-SA"/>
            </w:rPr>
            <w:t>发表重要讲话</w:t>
          </w:r>
          <w:r>
            <w:rPr>
              <w:rFonts w:hint="eastAsia" w:ascii="楷体_GB2312" w:hAnsi="楷体_GB2312" w:eastAsia="楷体_GB2312" w:cs="楷体_GB2312"/>
              <w:sz w:val="28"/>
              <w:szCs w:val="28"/>
            </w:rPr>
            <w:tab/>
          </w:r>
          <w:r>
            <w:rPr>
              <w:rFonts w:hint="eastAsia" w:ascii="楷体_GB2312" w:hAnsi="楷体_GB2312" w:eastAsia="楷体_GB2312" w:cs="楷体_GB2312"/>
              <w:sz w:val="28"/>
              <w:szCs w:val="28"/>
            </w:rPr>
            <w:fldChar w:fldCharType="begin"/>
          </w:r>
          <w:r>
            <w:rPr>
              <w:rFonts w:hint="eastAsia" w:ascii="楷体_GB2312" w:hAnsi="楷体_GB2312" w:eastAsia="楷体_GB2312" w:cs="楷体_GB2312"/>
              <w:sz w:val="28"/>
              <w:szCs w:val="28"/>
            </w:rPr>
            <w:instrText xml:space="preserve"> PAGEREF _Toc7542 \h </w:instrText>
          </w:r>
          <w:r>
            <w:rPr>
              <w:rFonts w:hint="eastAsia" w:ascii="楷体_GB2312" w:hAnsi="楷体_GB2312" w:eastAsia="楷体_GB2312" w:cs="楷体_GB2312"/>
              <w:sz w:val="28"/>
              <w:szCs w:val="28"/>
            </w:rPr>
            <w:fldChar w:fldCharType="separate"/>
          </w:r>
          <w:r>
            <w:rPr>
              <w:rFonts w:hint="eastAsia" w:ascii="楷体_GB2312" w:hAnsi="楷体_GB2312" w:eastAsia="楷体_GB2312" w:cs="楷体_GB2312"/>
              <w:sz w:val="28"/>
              <w:szCs w:val="28"/>
            </w:rPr>
            <w:t>27</w:t>
          </w:r>
          <w:r>
            <w:rPr>
              <w:rFonts w:hint="eastAsia" w:ascii="楷体_GB2312" w:hAnsi="楷体_GB2312" w:eastAsia="楷体_GB2312" w:cs="楷体_GB2312"/>
              <w:sz w:val="28"/>
              <w:szCs w:val="28"/>
            </w:rPr>
            <w:fldChar w:fldCharType="end"/>
          </w:r>
          <w:r>
            <w:rPr>
              <w:rFonts w:hint="eastAsia" w:ascii="楷体_GB2312" w:hAnsi="楷体_GB2312" w:eastAsia="楷体_GB2312" w:cs="楷体_GB2312"/>
              <w:sz w:val="28"/>
              <w:szCs w:val="28"/>
            </w:rPr>
            <w:fldChar w:fldCharType="end"/>
          </w:r>
        </w:p>
        <w:p>
          <w:pPr>
            <w:pStyle w:val="9"/>
            <w:keepNext w:val="0"/>
            <w:keepLines w:val="0"/>
            <w:pageBreakBefore w:val="0"/>
            <w:tabs>
              <w:tab w:val="right" w:leader="dot" w:pos="8306"/>
            </w:tabs>
            <w:kinsoku/>
            <w:wordWrap/>
            <w:overflowPunct/>
            <w:topLinePunct w:val="0"/>
            <w:autoSpaceDE/>
            <w:autoSpaceDN/>
            <w:bidi w:val="0"/>
            <w:adjustRightInd/>
            <w:snapToGrid/>
            <w:spacing w:line="600" w:lineRule="exact"/>
            <w:textAlignment w:val="auto"/>
            <w:rPr>
              <w:rFonts w:hint="eastAsia" w:ascii="楷体_GB2312" w:hAnsi="楷体_GB2312" w:eastAsia="楷体_GB2312" w:cs="楷体_GB2312"/>
              <w:sz w:val="28"/>
              <w:szCs w:val="28"/>
            </w:rPr>
          </w:pPr>
          <w:r>
            <w:rPr>
              <w:rFonts w:hint="eastAsia" w:ascii="楷体_GB2312" w:hAnsi="楷体_GB2312" w:eastAsia="楷体_GB2312" w:cs="楷体_GB2312"/>
              <w:sz w:val="28"/>
              <w:szCs w:val="28"/>
              <w:lang w:val="en-US" w:eastAsia="zh-CN"/>
            </w:rPr>
            <w:t>8.</w:t>
          </w:r>
          <w:r>
            <w:rPr>
              <w:rFonts w:hint="eastAsia" w:ascii="楷体_GB2312" w:hAnsi="楷体_GB2312" w:eastAsia="楷体_GB2312" w:cs="楷体_GB2312"/>
              <w:sz w:val="28"/>
              <w:szCs w:val="28"/>
            </w:rPr>
            <w:fldChar w:fldCharType="begin"/>
          </w:r>
          <w:r>
            <w:rPr>
              <w:rFonts w:hint="eastAsia" w:ascii="楷体_GB2312" w:hAnsi="楷体_GB2312" w:eastAsia="楷体_GB2312" w:cs="楷体_GB2312"/>
              <w:sz w:val="28"/>
              <w:szCs w:val="28"/>
            </w:rPr>
            <w:instrText xml:space="preserve"> HYPERLINK \l _Toc31093 </w:instrText>
          </w:r>
          <w:r>
            <w:rPr>
              <w:rFonts w:hint="eastAsia" w:ascii="楷体_GB2312" w:hAnsi="楷体_GB2312" w:eastAsia="楷体_GB2312" w:cs="楷体_GB2312"/>
              <w:sz w:val="28"/>
              <w:szCs w:val="28"/>
            </w:rPr>
            <w:fldChar w:fldCharType="separate"/>
          </w:r>
          <w:r>
            <w:rPr>
              <w:rFonts w:hint="eastAsia" w:ascii="楷体_GB2312" w:hAnsi="楷体_GB2312" w:eastAsia="楷体_GB2312" w:cs="楷体_GB2312"/>
              <w:bCs/>
              <w:i w:val="0"/>
              <w:caps w:val="0"/>
              <w:spacing w:val="0"/>
              <w:sz w:val="28"/>
              <w:szCs w:val="28"/>
              <w:shd w:val="clear" w:fill="FFFFFF"/>
            </w:rPr>
            <w:t>习近平在博鳌亚洲论坛2021年年会开幕式上发表主旨演讲</w:t>
          </w:r>
          <w:r>
            <w:rPr>
              <w:rFonts w:hint="eastAsia" w:ascii="楷体_GB2312" w:hAnsi="楷体_GB2312" w:eastAsia="楷体_GB2312" w:cs="楷体_GB2312"/>
              <w:sz w:val="28"/>
              <w:szCs w:val="28"/>
            </w:rPr>
            <w:tab/>
          </w:r>
          <w:r>
            <w:rPr>
              <w:rFonts w:hint="eastAsia" w:ascii="楷体_GB2312" w:hAnsi="楷体_GB2312" w:eastAsia="楷体_GB2312" w:cs="楷体_GB2312"/>
              <w:sz w:val="28"/>
              <w:szCs w:val="28"/>
            </w:rPr>
            <w:fldChar w:fldCharType="begin"/>
          </w:r>
          <w:r>
            <w:rPr>
              <w:rFonts w:hint="eastAsia" w:ascii="楷体_GB2312" w:hAnsi="楷体_GB2312" w:eastAsia="楷体_GB2312" w:cs="楷体_GB2312"/>
              <w:sz w:val="28"/>
              <w:szCs w:val="28"/>
            </w:rPr>
            <w:instrText xml:space="preserve"> PAGEREF _Toc31093 \h </w:instrText>
          </w:r>
          <w:r>
            <w:rPr>
              <w:rFonts w:hint="eastAsia" w:ascii="楷体_GB2312" w:hAnsi="楷体_GB2312" w:eastAsia="楷体_GB2312" w:cs="楷体_GB2312"/>
              <w:sz w:val="28"/>
              <w:szCs w:val="28"/>
            </w:rPr>
            <w:fldChar w:fldCharType="separate"/>
          </w:r>
          <w:r>
            <w:rPr>
              <w:rFonts w:hint="eastAsia" w:ascii="楷体_GB2312" w:hAnsi="楷体_GB2312" w:eastAsia="楷体_GB2312" w:cs="楷体_GB2312"/>
              <w:sz w:val="28"/>
              <w:szCs w:val="28"/>
            </w:rPr>
            <w:t>36</w:t>
          </w:r>
          <w:r>
            <w:rPr>
              <w:rFonts w:hint="eastAsia" w:ascii="楷体_GB2312" w:hAnsi="楷体_GB2312" w:eastAsia="楷体_GB2312" w:cs="楷体_GB2312"/>
              <w:sz w:val="28"/>
              <w:szCs w:val="28"/>
            </w:rPr>
            <w:fldChar w:fldCharType="end"/>
          </w:r>
          <w:r>
            <w:rPr>
              <w:rFonts w:hint="eastAsia" w:ascii="楷体_GB2312" w:hAnsi="楷体_GB2312" w:eastAsia="楷体_GB2312" w:cs="楷体_GB2312"/>
              <w:sz w:val="28"/>
              <w:szCs w:val="28"/>
            </w:rPr>
            <w:fldChar w:fldCharType="end"/>
          </w:r>
        </w:p>
        <w:p>
          <w:pPr>
            <w:pStyle w:val="9"/>
            <w:keepNext w:val="0"/>
            <w:keepLines w:val="0"/>
            <w:pageBreakBefore w:val="0"/>
            <w:tabs>
              <w:tab w:val="right" w:leader="dot" w:pos="8306"/>
            </w:tabs>
            <w:kinsoku/>
            <w:wordWrap/>
            <w:overflowPunct/>
            <w:topLinePunct w:val="0"/>
            <w:autoSpaceDE/>
            <w:autoSpaceDN/>
            <w:bidi w:val="0"/>
            <w:adjustRightInd/>
            <w:snapToGrid/>
            <w:spacing w:line="600" w:lineRule="exact"/>
            <w:textAlignment w:val="auto"/>
            <w:rPr>
              <w:rFonts w:hint="eastAsia" w:ascii="楷体_GB2312" w:hAnsi="楷体_GB2312" w:eastAsia="楷体_GB2312" w:cs="楷体_GB2312"/>
              <w:sz w:val="28"/>
              <w:szCs w:val="28"/>
            </w:rPr>
          </w:pPr>
          <w:r>
            <w:rPr>
              <w:rFonts w:hint="eastAsia" w:ascii="楷体_GB2312" w:hAnsi="楷体_GB2312" w:eastAsia="楷体_GB2312" w:cs="楷体_GB2312"/>
              <w:sz w:val="28"/>
              <w:szCs w:val="28"/>
              <w:lang w:val="en-US" w:eastAsia="zh-CN"/>
            </w:rPr>
            <w:t>9.</w:t>
          </w:r>
          <w:r>
            <w:rPr>
              <w:rFonts w:hint="eastAsia" w:ascii="楷体_GB2312" w:hAnsi="楷体_GB2312" w:eastAsia="楷体_GB2312" w:cs="楷体_GB2312"/>
              <w:sz w:val="28"/>
              <w:szCs w:val="28"/>
            </w:rPr>
            <w:fldChar w:fldCharType="begin"/>
          </w:r>
          <w:r>
            <w:rPr>
              <w:rFonts w:hint="eastAsia" w:ascii="楷体_GB2312" w:hAnsi="楷体_GB2312" w:eastAsia="楷体_GB2312" w:cs="楷体_GB2312"/>
              <w:sz w:val="28"/>
              <w:szCs w:val="28"/>
            </w:rPr>
            <w:instrText xml:space="preserve"> HYPERLINK \l _Toc11601 </w:instrText>
          </w:r>
          <w:r>
            <w:rPr>
              <w:rFonts w:hint="eastAsia" w:ascii="楷体_GB2312" w:hAnsi="楷体_GB2312" w:eastAsia="楷体_GB2312" w:cs="楷体_GB2312"/>
              <w:sz w:val="28"/>
              <w:szCs w:val="28"/>
            </w:rPr>
            <w:fldChar w:fldCharType="separate"/>
          </w:r>
          <w:r>
            <w:rPr>
              <w:rFonts w:hint="eastAsia" w:ascii="楷体_GB2312" w:hAnsi="楷体_GB2312" w:eastAsia="楷体_GB2312" w:cs="楷体_GB2312"/>
              <w:bCs/>
              <w:caps w:val="0"/>
              <w:spacing w:val="0"/>
              <w:sz w:val="28"/>
              <w:szCs w:val="28"/>
              <w:shd w:val="clear" w:fill="FFFFFF"/>
            </w:rPr>
            <w:t>中共中央政治局召开会议</w:t>
          </w:r>
          <w:r>
            <w:rPr>
              <w:rFonts w:hint="eastAsia" w:ascii="楷体_GB2312" w:hAnsi="楷体_GB2312" w:eastAsia="楷体_GB2312" w:cs="楷体_GB2312"/>
              <w:sz w:val="28"/>
              <w:szCs w:val="28"/>
            </w:rPr>
            <w:tab/>
          </w:r>
          <w:r>
            <w:rPr>
              <w:rFonts w:hint="eastAsia" w:ascii="楷体_GB2312" w:hAnsi="楷体_GB2312" w:eastAsia="楷体_GB2312" w:cs="楷体_GB2312"/>
              <w:sz w:val="28"/>
              <w:szCs w:val="28"/>
            </w:rPr>
            <w:fldChar w:fldCharType="begin"/>
          </w:r>
          <w:r>
            <w:rPr>
              <w:rFonts w:hint="eastAsia" w:ascii="楷体_GB2312" w:hAnsi="楷体_GB2312" w:eastAsia="楷体_GB2312" w:cs="楷体_GB2312"/>
              <w:sz w:val="28"/>
              <w:szCs w:val="28"/>
            </w:rPr>
            <w:instrText xml:space="preserve"> PAGEREF _Toc11601 \h </w:instrText>
          </w:r>
          <w:r>
            <w:rPr>
              <w:rFonts w:hint="eastAsia" w:ascii="楷体_GB2312" w:hAnsi="楷体_GB2312" w:eastAsia="楷体_GB2312" w:cs="楷体_GB2312"/>
              <w:sz w:val="28"/>
              <w:szCs w:val="28"/>
            </w:rPr>
            <w:fldChar w:fldCharType="separate"/>
          </w:r>
          <w:r>
            <w:rPr>
              <w:rFonts w:hint="eastAsia" w:ascii="楷体_GB2312" w:hAnsi="楷体_GB2312" w:eastAsia="楷体_GB2312" w:cs="楷体_GB2312"/>
              <w:sz w:val="28"/>
              <w:szCs w:val="28"/>
            </w:rPr>
            <w:t>41</w:t>
          </w:r>
          <w:r>
            <w:rPr>
              <w:rFonts w:hint="eastAsia" w:ascii="楷体_GB2312" w:hAnsi="楷体_GB2312" w:eastAsia="楷体_GB2312" w:cs="楷体_GB2312"/>
              <w:sz w:val="28"/>
              <w:szCs w:val="28"/>
            </w:rPr>
            <w:fldChar w:fldCharType="end"/>
          </w:r>
          <w:r>
            <w:rPr>
              <w:rFonts w:hint="eastAsia" w:ascii="楷体_GB2312" w:hAnsi="楷体_GB2312" w:eastAsia="楷体_GB2312" w:cs="楷体_GB2312"/>
              <w:sz w:val="28"/>
              <w:szCs w:val="28"/>
            </w:rPr>
            <w:fldChar w:fldCharType="end"/>
          </w:r>
        </w:p>
        <w:p>
          <w:pPr>
            <w:pStyle w:val="9"/>
            <w:keepNext w:val="0"/>
            <w:keepLines w:val="0"/>
            <w:pageBreakBefore w:val="0"/>
            <w:tabs>
              <w:tab w:val="right" w:leader="dot" w:pos="8306"/>
            </w:tabs>
            <w:kinsoku/>
            <w:wordWrap/>
            <w:overflowPunct/>
            <w:topLinePunct w:val="0"/>
            <w:autoSpaceDE/>
            <w:autoSpaceDN/>
            <w:bidi w:val="0"/>
            <w:adjustRightInd/>
            <w:snapToGrid/>
            <w:spacing w:line="600" w:lineRule="exact"/>
            <w:textAlignment w:val="auto"/>
            <w:rPr>
              <w:rFonts w:hint="eastAsia" w:ascii="楷体_GB2312" w:hAnsi="楷体_GB2312" w:eastAsia="楷体_GB2312" w:cs="楷体_GB2312"/>
              <w:sz w:val="28"/>
              <w:szCs w:val="28"/>
            </w:rPr>
          </w:pPr>
          <w:r>
            <w:rPr>
              <w:rFonts w:hint="eastAsia" w:ascii="楷体_GB2312" w:hAnsi="楷体_GB2312" w:eastAsia="楷体_GB2312" w:cs="楷体_GB2312"/>
              <w:sz w:val="28"/>
              <w:szCs w:val="28"/>
              <w:lang w:val="en-US" w:eastAsia="zh-CN"/>
            </w:rPr>
            <w:t>10.</w:t>
          </w:r>
          <w:r>
            <w:rPr>
              <w:rFonts w:hint="eastAsia" w:ascii="楷体_GB2312" w:hAnsi="楷体_GB2312" w:eastAsia="楷体_GB2312" w:cs="楷体_GB2312"/>
              <w:sz w:val="28"/>
              <w:szCs w:val="28"/>
            </w:rPr>
            <w:fldChar w:fldCharType="begin"/>
          </w:r>
          <w:r>
            <w:rPr>
              <w:rFonts w:hint="eastAsia" w:ascii="楷体_GB2312" w:hAnsi="楷体_GB2312" w:eastAsia="楷体_GB2312" w:cs="楷体_GB2312"/>
              <w:sz w:val="28"/>
              <w:szCs w:val="28"/>
            </w:rPr>
            <w:instrText xml:space="preserve"> HYPERLINK \l _Toc9738 </w:instrText>
          </w:r>
          <w:r>
            <w:rPr>
              <w:rFonts w:hint="eastAsia" w:ascii="楷体_GB2312" w:hAnsi="楷体_GB2312" w:eastAsia="楷体_GB2312" w:cs="楷体_GB2312"/>
              <w:sz w:val="28"/>
              <w:szCs w:val="28"/>
            </w:rPr>
            <w:fldChar w:fldCharType="separate"/>
          </w:r>
          <w:r>
            <w:rPr>
              <w:rFonts w:hint="eastAsia" w:ascii="楷体_GB2312" w:hAnsi="楷体_GB2312" w:eastAsia="楷体_GB2312" w:cs="楷体_GB2312"/>
              <w:bCs w:val="0"/>
              <w:i w:val="0"/>
              <w:caps w:val="0"/>
              <w:spacing w:val="0"/>
              <w:sz w:val="28"/>
              <w:szCs w:val="28"/>
              <w:shd w:val="clear" w:fill="FFFFFF"/>
            </w:rPr>
            <w:t>《求是》杂志发表习近平总书记重要文章</w:t>
          </w:r>
          <w:r>
            <w:rPr>
              <w:rFonts w:hint="eastAsia" w:ascii="楷体_GB2312" w:hAnsi="楷体_GB2312" w:eastAsia="楷体_GB2312" w:cs="楷体_GB2312"/>
              <w:bCs w:val="0"/>
              <w:i w:val="0"/>
              <w:caps w:val="0"/>
              <w:spacing w:val="0"/>
              <w:sz w:val="28"/>
              <w:szCs w:val="28"/>
              <w:shd w:val="clear" w:fill="FFFFFF"/>
              <w:lang w:eastAsia="zh-CN"/>
            </w:rPr>
            <w:t>：</w:t>
          </w:r>
          <w:r>
            <w:rPr>
              <w:rFonts w:hint="eastAsia" w:ascii="楷体_GB2312" w:hAnsi="楷体_GB2312" w:eastAsia="楷体_GB2312" w:cs="楷体_GB2312"/>
              <w:bCs w:val="0"/>
              <w:i w:val="0"/>
              <w:caps w:val="0"/>
              <w:spacing w:val="0"/>
              <w:sz w:val="28"/>
              <w:szCs w:val="28"/>
              <w:shd w:val="clear" w:fill="FFFFFF"/>
            </w:rPr>
            <w:t>把握新发展阶段，贯彻新发展理念，构建新发展格局</w:t>
          </w:r>
          <w:r>
            <w:rPr>
              <w:rFonts w:hint="eastAsia" w:ascii="楷体_GB2312" w:hAnsi="楷体_GB2312" w:eastAsia="楷体_GB2312" w:cs="楷体_GB2312"/>
              <w:sz w:val="28"/>
              <w:szCs w:val="28"/>
            </w:rPr>
            <w:tab/>
          </w:r>
          <w:r>
            <w:rPr>
              <w:rFonts w:hint="eastAsia" w:ascii="楷体_GB2312" w:hAnsi="楷体_GB2312" w:eastAsia="楷体_GB2312" w:cs="楷体_GB2312"/>
              <w:sz w:val="28"/>
              <w:szCs w:val="28"/>
            </w:rPr>
            <w:fldChar w:fldCharType="begin"/>
          </w:r>
          <w:r>
            <w:rPr>
              <w:rFonts w:hint="eastAsia" w:ascii="楷体_GB2312" w:hAnsi="楷体_GB2312" w:eastAsia="楷体_GB2312" w:cs="楷体_GB2312"/>
              <w:sz w:val="28"/>
              <w:szCs w:val="28"/>
            </w:rPr>
            <w:instrText xml:space="preserve"> PAGEREF _Toc9738 \h </w:instrText>
          </w:r>
          <w:r>
            <w:rPr>
              <w:rFonts w:hint="eastAsia" w:ascii="楷体_GB2312" w:hAnsi="楷体_GB2312" w:eastAsia="楷体_GB2312" w:cs="楷体_GB2312"/>
              <w:sz w:val="28"/>
              <w:szCs w:val="28"/>
            </w:rPr>
            <w:fldChar w:fldCharType="separate"/>
          </w:r>
          <w:r>
            <w:rPr>
              <w:rFonts w:hint="eastAsia" w:ascii="楷体_GB2312" w:hAnsi="楷体_GB2312" w:eastAsia="楷体_GB2312" w:cs="楷体_GB2312"/>
              <w:sz w:val="28"/>
              <w:szCs w:val="28"/>
            </w:rPr>
            <w:t>45</w:t>
          </w:r>
          <w:r>
            <w:rPr>
              <w:rFonts w:hint="eastAsia" w:ascii="楷体_GB2312" w:hAnsi="楷体_GB2312" w:eastAsia="楷体_GB2312" w:cs="楷体_GB2312"/>
              <w:sz w:val="28"/>
              <w:szCs w:val="28"/>
            </w:rPr>
            <w:fldChar w:fldCharType="end"/>
          </w:r>
          <w:r>
            <w:rPr>
              <w:rFonts w:hint="eastAsia" w:ascii="楷体_GB2312" w:hAnsi="楷体_GB2312" w:eastAsia="楷体_GB2312" w:cs="楷体_GB2312"/>
              <w:sz w:val="28"/>
              <w:szCs w:val="28"/>
            </w:rPr>
            <w:fldChar w:fldCharType="end"/>
          </w:r>
        </w:p>
        <w:p>
          <w:pPr>
            <w:pStyle w:val="9"/>
            <w:keepNext w:val="0"/>
            <w:keepLines w:val="0"/>
            <w:pageBreakBefore w:val="0"/>
            <w:tabs>
              <w:tab w:val="right" w:leader="dot" w:pos="8306"/>
            </w:tabs>
            <w:kinsoku/>
            <w:wordWrap/>
            <w:overflowPunct/>
            <w:topLinePunct w:val="0"/>
            <w:autoSpaceDE/>
            <w:autoSpaceDN/>
            <w:bidi w:val="0"/>
            <w:adjustRightInd/>
            <w:snapToGrid/>
            <w:spacing w:line="600" w:lineRule="exact"/>
            <w:textAlignment w:val="auto"/>
            <w:rPr>
              <w:rFonts w:hint="eastAsia" w:ascii="楷体_GB2312" w:hAnsi="楷体_GB2312" w:eastAsia="楷体_GB2312" w:cs="楷体_GB2312"/>
              <w:sz w:val="28"/>
              <w:szCs w:val="28"/>
            </w:rPr>
          </w:pPr>
          <w:r>
            <w:rPr>
              <w:rFonts w:hint="eastAsia" w:ascii="楷体_GB2312" w:hAnsi="楷体_GB2312" w:eastAsia="楷体_GB2312" w:cs="楷体_GB2312"/>
              <w:sz w:val="28"/>
              <w:szCs w:val="28"/>
              <w:lang w:val="en-US" w:eastAsia="zh-CN"/>
            </w:rPr>
            <w:t>11.</w:t>
          </w:r>
          <w:r>
            <w:rPr>
              <w:rFonts w:hint="eastAsia" w:ascii="楷体_GB2312" w:hAnsi="楷体_GB2312" w:eastAsia="楷体_GB2312" w:cs="楷体_GB2312"/>
              <w:sz w:val="28"/>
              <w:szCs w:val="28"/>
            </w:rPr>
            <w:fldChar w:fldCharType="begin"/>
          </w:r>
          <w:r>
            <w:rPr>
              <w:rFonts w:hint="eastAsia" w:ascii="楷体_GB2312" w:hAnsi="楷体_GB2312" w:eastAsia="楷体_GB2312" w:cs="楷体_GB2312"/>
              <w:sz w:val="28"/>
              <w:szCs w:val="28"/>
            </w:rPr>
            <w:instrText xml:space="preserve"> HYPERLINK \l _Toc10408 </w:instrText>
          </w:r>
          <w:r>
            <w:rPr>
              <w:rFonts w:hint="eastAsia" w:ascii="楷体_GB2312" w:hAnsi="楷体_GB2312" w:eastAsia="楷体_GB2312" w:cs="楷体_GB2312"/>
              <w:sz w:val="28"/>
              <w:szCs w:val="28"/>
            </w:rPr>
            <w:fldChar w:fldCharType="separate"/>
          </w:r>
          <w:r>
            <w:rPr>
              <w:rFonts w:hint="eastAsia" w:ascii="楷体_GB2312" w:hAnsi="楷体_GB2312" w:eastAsia="楷体_GB2312" w:cs="楷体_GB2312"/>
              <w:i w:val="0"/>
              <w:caps w:val="0"/>
              <w:spacing w:val="0"/>
              <w:sz w:val="28"/>
              <w:szCs w:val="28"/>
              <w:shd w:val="clear" w:fill="FFFFFF"/>
            </w:rPr>
            <w:t>习近平在中共中央政治局第二十九次集体学习时</w:t>
          </w:r>
          <w:r>
            <w:rPr>
              <w:rFonts w:hint="eastAsia" w:ascii="楷体_GB2312" w:hAnsi="楷体_GB2312" w:eastAsia="楷体_GB2312" w:cs="楷体_GB2312"/>
              <w:i w:val="0"/>
              <w:caps w:val="0"/>
              <w:spacing w:val="0"/>
              <w:sz w:val="28"/>
              <w:szCs w:val="28"/>
              <w:shd w:val="clear" w:fill="FFFFFF"/>
              <w:lang w:eastAsia="zh-CN"/>
            </w:rPr>
            <w:t>发表重要讲话</w:t>
          </w:r>
          <w:r>
            <w:rPr>
              <w:rFonts w:hint="eastAsia" w:ascii="楷体_GB2312" w:hAnsi="楷体_GB2312" w:eastAsia="楷体_GB2312" w:cs="楷体_GB2312"/>
              <w:sz w:val="28"/>
              <w:szCs w:val="28"/>
            </w:rPr>
            <w:tab/>
          </w:r>
          <w:r>
            <w:rPr>
              <w:rFonts w:hint="eastAsia" w:ascii="楷体_GB2312" w:hAnsi="楷体_GB2312" w:eastAsia="楷体_GB2312" w:cs="楷体_GB2312"/>
              <w:sz w:val="28"/>
              <w:szCs w:val="28"/>
            </w:rPr>
            <w:fldChar w:fldCharType="begin"/>
          </w:r>
          <w:r>
            <w:rPr>
              <w:rFonts w:hint="eastAsia" w:ascii="楷体_GB2312" w:hAnsi="楷体_GB2312" w:eastAsia="楷体_GB2312" w:cs="楷体_GB2312"/>
              <w:sz w:val="28"/>
              <w:szCs w:val="28"/>
            </w:rPr>
            <w:instrText xml:space="preserve"> PAGEREF _Toc10408 \h </w:instrText>
          </w:r>
          <w:r>
            <w:rPr>
              <w:rFonts w:hint="eastAsia" w:ascii="楷体_GB2312" w:hAnsi="楷体_GB2312" w:eastAsia="楷体_GB2312" w:cs="楷体_GB2312"/>
              <w:sz w:val="28"/>
              <w:szCs w:val="28"/>
            </w:rPr>
            <w:fldChar w:fldCharType="separate"/>
          </w:r>
          <w:r>
            <w:rPr>
              <w:rFonts w:hint="eastAsia" w:ascii="楷体_GB2312" w:hAnsi="楷体_GB2312" w:eastAsia="楷体_GB2312" w:cs="楷体_GB2312"/>
              <w:sz w:val="28"/>
              <w:szCs w:val="28"/>
            </w:rPr>
            <w:t>47</w:t>
          </w:r>
          <w:r>
            <w:rPr>
              <w:rFonts w:hint="eastAsia" w:ascii="楷体_GB2312" w:hAnsi="楷体_GB2312" w:eastAsia="楷体_GB2312" w:cs="楷体_GB2312"/>
              <w:sz w:val="28"/>
              <w:szCs w:val="28"/>
            </w:rPr>
            <w:fldChar w:fldCharType="end"/>
          </w:r>
          <w:r>
            <w:rPr>
              <w:rFonts w:hint="eastAsia" w:ascii="楷体_GB2312" w:hAnsi="楷体_GB2312" w:eastAsia="楷体_GB2312" w:cs="楷体_GB2312"/>
              <w:sz w:val="28"/>
              <w:szCs w:val="28"/>
            </w:rPr>
            <w:fldChar w:fldCharType="end"/>
          </w:r>
        </w:p>
        <w:p>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楷体_GB2312" w:hAnsi="楷体_GB2312" w:eastAsia="楷体_GB2312" w:cs="楷体_GB2312"/>
              <w:sz w:val="28"/>
              <w:szCs w:val="28"/>
            </w:rPr>
          </w:pPr>
          <w:r>
            <w:rPr>
              <w:rFonts w:hint="eastAsia" w:ascii="楷体_GB2312" w:hAnsi="楷体_GB2312" w:eastAsia="楷体_GB2312" w:cs="楷体_GB2312"/>
              <w:b/>
              <w:bCs/>
              <w:sz w:val="28"/>
              <w:szCs w:val="28"/>
              <w:lang w:eastAsia="zh-CN"/>
            </w:rPr>
            <w:t>三、医疗领域重要讲话和会议精神</w:t>
          </w:r>
        </w:p>
        <w:p>
          <w:pPr>
            <w:pStyle w:val="9"/>
            <w:keepNext w:val="0"/>
            <w:keepLines w:val="0"/>
            <w:pageBreakBefore w:val="0"/>
            <w:tabs>
              <w:tab w:val="right" w:leader="dot" w:pos="8306"/>
            </w:tabs>
            <w:kinsoku/>
            <w:wordWrap/>
            <w:overflowPunct/>
            <w:topLinePunct w:val="0"/>
            <w:autoSpaceDE/>
            <w:autoSpaceDN/>
            <w:bidi w:val="0"/>
            <w:adjustRightInd/>
            <w:snapToGrid/>
            <w:spacing w:line="600" w:lineRule="exact"/>
            <w:textAlignment w:val="auto"/>
            <w:rPr>
              <w:rFonts w:hint="eastAsia" w:ascii="楷体_GB2312" w:hAnsi="楷体_GB2312" w:eastAsia="楷体_GB2312" w:cs="楷体_GB2312"/>
              <w:sz w:val="28"/>
              <w:szCs w:val="28"/>
            </w:rPr>
          </w:pPr>
          <w:r>
            <w:rPr>
              <w:rFonts w:hint="eastAsia" w:ascii="楷体_GB2312" w:hAnsi="楷体_GB2312" w:eastAsia="楷体_GB2312" w:cs="楷体_GB2312"/>
              <w:sz w:val="28"/>
              <w:szCs w:val="28"/>
              <w:lang w:val="en-US" w:eastAsia="zh-CN"/>
            </w:rPr>
            <w:t>12.</w:t>
          </w:r>
          <w:r>
            <w:rPr>
              <w:rFonts w:hint="eastAsia" w:ascii="楷体_GB2312" w:hAnsi="楷体_GB2312" w:eastAsia="楷体_GB2312" w:cs="楷体_GB2312"/>
              <w:sz w:val="28"/>
              <w:szCs w:val="28"/>
            </w:rPr>
            <w:fldChar w:fldCharType="begin"/>
          </w:r>
          <w:r>
            <w:rPr>
              <w:rFonts w:hint="eastAsia" w:ascii="楷体_GB2312" w:hAnsi="楷体_GB2312" w:eastAsia="楷体_GB2312" w:cs="楷体_GB2312"/>
              <w:sz w:val="28"/>
              <w:szCs w:val="28"/>
            </w:rPr>
            <w:instrText xml:space="preserve"> HYPERLINK \l _Toc10373 </w:instrText>
          </w:r>
          <w:r>
            <w:rPr>
              <w:rFonts w:hint="eastAsia" w:ascii="楷体_GB2312" w:hAnsi="楷体_GB2312" w:eastAsia="楷体_GB2312" w:cs="楷体_GB2312"/>
              <w:sz w:val="28"/>
              <w:szCs w:val="28"/>
            </w:rPr>
            <w:fldChar w:fldCharType="separate"/>
          </w:r>
          <w:r>
            <w:rPr>
              <w:rFonts w:hint="eastAsia" w:ascii="楷体_GB2312" w:hAnsi="楷体_GB2312" w:eastAsia="楷体_GB2312" w:cs="楷体_GB2312"/>
              <w:bCs/>
              <w:sz w:val="28"/>
              <w:szCs w:val="28"/>
              <w:lang w:val="en-US" w:eastAsia="zh-CN"/>
            </w:rPr>
            <w:t>孙春兰：推动卫生健康事业高质量发展 把人民健康福祉提高到新水平</w:t>
          </w:r>
          <w:r>
            <w:rPr>
              <w:rFonts w:hint="eastAsia" w:ascii="楷体_GB2312" w:hAnsi="楷体_GB2312" w:eastAsia="楷体_GB2312" w:cs="楷体_GB2312"/>
              <w:sz w:val="28"/>
              <w:szCs w:val="28"/>
            </w:rPr>
            <w:tab/>
          </w:r>
          <w:r>
            <w:rPr>
              <w:rFonts w:hint="eastAsia" w:ascii="楷体_GB2312" w:hAnsi="楷体_GB2312" w:eastAsia="楷体_GB2312" w:cs="楷体_GB2312"/>
              <w:sz w:val="28"/>
              <w:szCs w:val="28"/>
            </w:rPr>
            <w:fldChar w:fldCharType="begin"/>
          </w:r>
          <w:r>
            <w:rPr>
              <w:rFonts w:hint="eastAsia" w:ascii="楷体_GB2312" w:hAnsi="楷体_GB2312" w:eastAsia="楷体_GB2312" w:cs="楷体_GB2312"/>
              <w:sz w:val="28"/>
              <w:szCs w:val="28"/>
            </w:rPr>
            <w:instrText xml:space="preserve"> PAGEREF _Toc10373 \h </w:instrText>
          </w:r>
          <w:r>
            <w:rPr>
              <w:rFonts w:hint="eastAsia" w:ascii="楷体_GB2312" w:hAnsi="楷体_GB2312" w:eastAsia="楷体_GB2312" w:cs="楷体_GB2312"/>
              <w:sz w:val="28"/>
              <w:szCs w:val="28"/>
            </w:rPr>
            <w:fldChar w:fldCharType="separate"/>
          </w:r>
          <w:r>
            <w:rPr>
              <w:rFonts w:hint="eastAsia" w:ascii="楷体_GB2312" w:hAnsi="楷体_GB2312" w:eastAsia="楷体_GB2312" w:cs="楷体_GB2312"/>
              <w:sz w:val="28"/>
              <w:szCs w:val="28"/>
            </w:rPr>
            <w:t>53</w:t>
          </w:r>
          <w:r>
            <w:rPr>
              <w:rFonts w:hint="eastAsia" w:ascii="楷体_GB2312" w:hAnsi="楷体_GB2312" w:eastAsia="楷体_GB2312" w:cs="楷体_GB2312"/>
              <w:sz w:val="28"/>
              <w:szCs w:val="28"/>
            </w:rPr>
            <w:fldChar w:fldCharType="end"/>
          </w:r>
          <w:r>
            <w:rPr>
              <w:rFonts w:hint="eastAsia" w:ascii="楷体_GB2312" w:hAnsi="楷体_GB2312" w:eastAsia="楷体_GB2312" w:cs="楷体_GB2312"/>
              <w:sz w:val="28"/>
              <w:szCs w:val="28"/>
            </w:rPr>
            <w:fldChar w:fldCharType="end"/>
          </w:r>
        </w:p>
        <w:p>
          <w:pPr>
            <w:pStyle w:val="9"/>
            <w:keepNext w:val="0"/>
            <w:keepLines w:val="0"/>
            <w:pageBreakBefore w:val="0"/>
            <w:tabs>
              <w:tab w:val="right" w:leader="dot" w:pos="8306"/>
            </w:tabs>
            <w:kinsoku/>
            <w:wordWrap/>
            <w:overflowPunct/>
            <w:topLinePunct w:val="0"/>
            <w:autoSpaceDE/>
            <w:autoSpaceDN/>
            <w:bidi w:val="0"/>
            <w:adjustRightInd/>
            <w:snapToGrid/>
            <w:spacing w:line="600" w:lineRule="exact"/>
            <w:textAlignment w:val="auto"/>
            <w:rPr>
              <w:rFonts w:hint="eastAsia" w:ascii="楷体_GB2312" w:hAnsi="楷体_GB2312" w:eastAsia="楷体_GB2312" w:cs="楷体_GB2312"/>
              <w:sz w:val="28"/>
              <w:szCs w:val="28"/>
            </w:rPr>
          </w:pPr>
          <w:r>
            <w:rPr>
              <w:rFonts w:hint="eastAsia" w:ascii="楷体_GB2312" w:hAnsi="楷体_GB2312" w:eastAsia="楷体_GB2312" w:cs="楷体_GB2312"/>
              <w:sz w:val="28"/>
              <w:szCs w:val="28"/>
              <w:lang w:val="en-US" w:eastAsia="zh-CN"/>
            </w:rPr>
            <w:t>13.</w:t>
          </w:r>
          <w:r>
            <w:rPr>
              <w:rFonts w:hint="eastAsia" w:ascii="楷体_GB2312" w:hAnsi="楷体_GB2312" w:eastAsia="楷体_GB2312" w:cs="楷体_GB2312"/>
              <w:sz w:val="28"/>
              <w:szCs w:val="28"/>
            </w:rPr>
            <w:fldChar w:fldCharType="begin"/>
          </w:r>
          <w:r>
            <w:rPr>
              <w:rFonts w:hint="eastAsia" w:ascii="楷体_GB2312" w:hAnsi="楷体_GB2312" w:eastAsia="楷体_GB2312" w:cs="楷体_GB2312"/>
              <w:sz w:val="28"/>
              <w:szCs w:val="28"/>
            </w:rPr>
            <w:instrText xml:space="preserve"> HYPERLINK \l _Toc10394 </w:instrText>
          </w:r>
          <w:r>
            <w:rPr>
              <w:rFonts w:hint="eastAsia" w:ascii="楷体_GB2312" w:hAnsi="楷体_GB2312" w:eastAsia="楷体_GB2312" w:cs="楷体_GB2312"/>
              <w:sz w:val="28"/>
              <w:szCs w:val="28"/>
            </w:rPr>
            <w:fldChar w:fldCharType="separate"/>
          </w:r>
          <w:r>
            <w:rPr>
              <w:rFonts w:hint="eastAsia" w:ascii="楷体_GB2312" w:hAnsi="楷体_GB2312" w:eastAsia="楷体_GB2312" w:cs="楷体_GB2312"/>
              <w:bCs/>
              <w:sz w:val="28"/>
              <w:szCs w:val="28"/>
            </w:rPr>
            <w:t>国务院办公厅关于建立健全职工基本医疗保险门诊共济保障机制的指导意见</w:t>
          </w:r>
          <w:r>
            <w:rPr>
              <w:rFonts w:hint="eastAsia" w:ascii="楷体_GB2312" w:hAnsi="楷体_GB2312" w:eastAsia="楷体_GB2312" w:cs="楷体_GB2312"/>
              <w:sz w:val="28"/>
              <w:szCs w:val="28"/>
            </w:rPr>
            <w:tab/>
          </w:r>
          <w:r>
            <w:rPr>
              <w:rFonts w:hint="eastAsia" w:ascii="楷体_GB2312" w:hAnsi="楷体_GB2312" w:eastAsia="楷体_GB2312" w:cs="楷体_GB2312"/>
              <w:sz w:val="28"/>
              <w:szCs w:val="28"/>
            </w:rPr>
            <w:fldChar w:fldCharType="begin"/>
          </w:r>
          <w:r>
            <w:rPr>
              <w:rFonts w:hint="eastAsia" w:ascii="楷体_GB2312" w:hAnsi="楷体_GB2312" w:eastAsia="楷体_GB2312" w:cs="楷体_GB2312"/>
              <w:sz w:val="28"/>
              <w:szCs w:val="28"/>
            </w:rPr>
            <w:instrText xml:space="preserve"> PAGEREF _Toc10394 \h </w:instrText>
          </w:r>
          <w:r>
            <w:rPr>
              <w:rFonts w:hint="eastAsia" w:ascii="楷体_GB2312" w:hAnsi="楷体_GB2312" w:eastAsia="楷体_GB2312" w:cs="楷体_GB2312"/>
              <w:sz w:val="28"/>
              <w:szCs w:val="28"/>
            </w:rPr>
            <w:fldChar w:fldCharType="separate"/>
          </w:r>
          <w:r>
            <w:rPr>
              <w:rFonts w:hint="eastAsia" w:ascii="楷体_GB2312" w:hAnsi="楷体_GB2312" w:eastAsia="楷体_GB2312" w:cs="楷体_GB2312"/>
              <w:sz w:val="28"/>
              <w:szCs w:val="28"/>
            </w:rPr>
            <w:t>55</w:t>
          </w:r>
          <w:r>
            <w:rPr>
              <w:rFonts w:hint="eastAsia" w:ascii="楷体_GB2312" w:hAnsi="楷体_GB2312" w:eastAsia="楷体_GB2312" w:cs="楷体_GB2312"/>
              <w:sz w:val="28"/>
              <w:szCs w:val="28"/>
            </w:rPr>
            <w:fldChar w:fldCharType="end"/>
          </w:r>
          <w:r>
            <w:rPr>
              <w:rFonts w:hint="eastAsia" w:ascii="楷体_GB2312" w:hAnsi="楷体_GB2312" w:eastAsia="楷体_GB2312" w:cs="楷体_GB2312"/>
              <w:sz w:val="28"/>
              <w:szCs w:val="28"/>
            </w:rPr>
            <w:fldChar w:fldCharType="end"/>
          </w:r>
        </w:p>
        <w:p>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楷体_GB2312" w:hAnsi="楷体_GB2312" w:eastAsia="楷体_GB2312" w:cs="楷体_GB2312"/>
              <w:sz w:val="28"/>
              <w:szCs w:val="28"/>
            </w:rPr>
          </w:pPr>
          <w:r>
            <w:rPr>
              <w:rFonts w:hint="eastAsia" w:ascii="楷体_GB2312" w:hAnsi="楷体_GB2312" w:eastAsia="楷体_GB2312" w:cs="楷体_GB2312"/>
              <w:b/>
              <w:bCs/>
              <w:sz w:val="28"/>
              <w:szCs w:val="28"/>
              <w:lang w:eastAsia="zh-CN"/>
            </w:rPr>
            <w:t>四、法律法规专题</w:t>
          </w:r>
        </w:p>
        <w:p>
          <w:pPr>
            <w:pStyle w:val="9"/>
            <w:keepNext w:val="0"/>
            <w:keepLines w:val="0"/>
            <w:pageBreakBefore w:val="0"/>
            <w:tabs>
              <w:tab w:val="right" w:leader="dot" w:pos="8306"/>
            </w:tabs>
            <w:kinsoku/>
            <w:wordWrap/>
            <w:overflowPunct/>
            <w:topLinePunct w:val="0"/>
            <w:autoSpaceDE/>
            <w:autoSpaceDN/>
            <w:bidi w:val="0"/>
            <w:adjustRightInd/>
            <w:snapToGrid/>
            <w:spacing w:line="600" w:lineRule="exact"/>
            <w:textAlignment w:val="auto"/>
            <w:rPr>
              <w:rFonts w:hint="eastAsia" w:ascii="楷体_GB2312" w:hAnsi="楷体_GB2312" w:eastAsia="楷体_GB2312" w:cs="楷体_GB2312"/>
              <w:sz w:val="28"/>
              <w:szCs w:val="28"/>
            </w:rPr>
          </w:pPr>
          <w:r>
            <w:rPr>
              <w:rFonts w:hint="eastAsia" w:ascii="楷体_GB2312" w:hAnsi="楷体_GB2312" w:eastAsia="楷体_GB2312" w:cs="楷体_GB2312"/>
              <w:sz w:val="28"/>
              <w:szCs w:val="28"/>
              <w:lang w:val="en-US" w:eastAsia="zh-CN"/>
            </w:rPr>
            <w:t>14.</w:t>
          </w:r>
          <w:r>
            <w:rPr>
              <w:rFonts w:hint="eastAsia" w:ascii="楷体_GB2312" w:hAnsi="楷体_GB2312" w:eastAsia="楷体_GB2312" w:cs="楷体_GB2312"/>
              <w:sz w:val="28"/>
              <w:szCs w:val="28"/>
            </w:rPr>
            <w:fldChar w:fldCharType="begin"/>
          </w:r>
          <w:r>
            <w:rPr>
              <w:rFonts w:hint="eastAsia" w:ascii="楷体_GB2312" w:hAnsi="楷体_GB2312" w:eastAsia="楷体_GB2312" w:cs="楷体_GB2312"/>
              <w:sz w:val="28"/>
              <w:szCs w:val="28"/>
            </w:rPr>
            <w:instrText xml:space="preserve"> HYPERLINK \l _Toc27533 </w:instrText>
          </w:r>
          <w:r>
            <w:rPr>
              <w:rFonts w:hint="eastAsia" w:ascii="楷体_GB2312" w:hAnsi="楷体_GB2312" w:eastAsia="楷体_GB2312" w:cs="楷体_GB2312"/>
              <w:sz w:val="28"/>
              <w:szCs w:val="28"/>
            </w:rPr>
            <w:fldChar w:fldCharType="separate"/>
          </w:r>
          <w:r>
            <w:rPr>
              <w:rFonts w:hint="eastAsia" w:ascii="楷体_GB2312" w:hAnsi="楷体_GB2312" w:eastAsia="楷体_GB2312" w:cs="楷体_GB2312"/>
              <w:bCs/>
              <w:sz w:val="28"/>
              <w:szCs w:val="28"/>
            </w:rPr>
            <w:t>中华人民共和国生物安全法</w:t>
          </w:r>
          <w:r>
            <w:rPr>
              <w:rFonts w:hint="eastAsia" w:ascii="楷体_GB2312" w:hAnsi="楷体_GB2312" w:eastAsia="楷体_GB2312" w:cs="楷体_GB2312"/>
              <w:sz w:val="28"/>
              <w:szCs w:val="28"/>
            </w:rPr>
            <w:tab/>
          </w:r>
          <w:r>
            <w:rPr>
              <w:rFonts w:hint="eastAsia" w:ascii="楷体_GB2312" w:hAnsi="楷体_GB2312" w:eastAsia="楷体_GB2312" w:cs="楷体_GB2312"/>
              <w:sz w:val="28"/>
              <w:szCs w:val="28"/>
            </w:rPr>
            <w:fldChar w:fldCharType="begin"/>
          </w:r>
          <w:r>
            <w:rPr>
              <w:rFonts w:hint="eastAsia" w:ascii="楷体_GB2312" w:hAnsi="楷体_GB2312" w:eastAsia="楷体_GB2312" w:cs="楷体_GB2312"/>
              <w:sz w:val="28"/>
              <w:szCs w:val="28"/>
            </w:rPr>
            <w:instrText xml:space="preserve"> PAGEREF _Toc27533 \h </w:instrText>
          </w:r>
          <w:r>
            <w:rPr>
              <w:rFonts w:hint="eastAsia" w:ascii="楷体_GB2312" w:hAnsi="楷体_GB2312" w:eastAsia="楷体_GB2312" w:cs="楷体_GB2312"/>
              <w:sz w:val="28"/>
              <w:szCs w:val="28"/>
            </w:rPr>
            <w:fldChar w:fldCharType="separate"/>
          </w:r>
          <w:r>
            <w:rPr>
              <w:rFonts w:hint="eastAsia" w:ascii="楷体_GB2312" w:hAnsi="楷体_GB2312" w:eastAsia="楷体_GB2312" w:cs="楷体_GB2312"/>
              <w:sz w:val="28"/>
              <w:szCs w:val="28"/>
            </w:rPr>
            <w:t>60</w:t>
          </w:r>
          <w:r>
            <w:rPr>
              <w:rFonts w:hint="eastAsia" w:ascii="楷体_GB2312" w:hAnsi="楷体_GB2312" w:eastAsia="楷体_GB2312" w:cs="楷体_GB2312"/>
              <w:sz w:val="28"/>
              <w:szCs w:val="28"/>
            </w:rPr>
            <w:fldChar w:fldCharType="end"/>
          </w:r>
          <w:r>
            <w:rPr>
              <w:rFonts w:hint="eastAsia" w:ascii="楷体_GB2312" w:hAnsi="楷体_GB2312" w:eastAsia="楷体_GB2312" w:cs="楷体_GB2312"/>
              <w:sz w:val="28"/>
              <w:szCs w:val="28"/>
            </w:rPr>
            <w:fldChar w:fldCharType="end"/>
          </w:r>
        </w:p>
        <w:p>
          <w:pPr>
            <w:pStyle w:val="9"/>
            <w:keepNext w:val="0"/>
            <w:keepLines w:val="0"/>
            <w:pageBreakBefore w:val="0"/>
            <w:tabs>
              <w:tab w:val="right" w:leader="dot" w:pos="8306"/>
            </w:tabs>
            <w:kinsoku/>
            <w:wordWrap/>
            <w:overflowPunct/>
            <w:topLinePunct w:val="0"/>
            <w:autoSpaceDE/>
            <w:autoSpaceDN/>
            <w:bidi w:val="0"/>
            <w:adjustRightInd/>
            <w:snapToGrid/>
            <w:spacing w:line="600" w:lineRule="exact"/>
            <w:textAlignment w:val="auto"/>
            <w:rPr>
              <w:rFonts w:hint="eastAsia" w:ascii="楷体_GB2312" w:hAnsi="楷体_GB2312" w:eastAsia="楷体_GB2312" w:cs="楷体_GB2312"/>
              <w:sz w:val="28"/>
              <w:szCs w:val="28"/>
            </w:rPr>
          </w:pPr>
          <w:r>
            <w:rPr>
              <w:rFonts w:hint="eastAsia" w:ascii="楷体_GB2312" w:hAnsi="楷体_GB2312" w:eastAsia="楷体_GB2312" w:cs="楷体_GB2312"/>
              <w:sz w:val="28"/>
              <w:szCs w:val="28"/>
              <w:lang w:val="en-US" w:eastAsia="zh-CN"/>
            </w:rPr>
            <w:t>15.</w:t>
          </w:r>
          <w:r>
            <w:rPr>
              <w:rFonts w:hint="eastAsia" w:ascii="楷体_GB2312" w:hAnsi="楷体_GB2312" w:eastAsia="楷体_GB2312" w:cs="楷体_GB2312"/>
              <w:sz w:val="28"/>
              <w:szCs w:val="28"/>
            </w:rPr>
            <w:fldChar w:fldCharType="begin"/>
          </w:r>
          <w:r>
            <w:rPr>
              <w:rFonts w:hint="eastAsia" w:ascii="楷体_GB2312" w:hAnsi="楷体_GB2312" w:eastAsia="楷体_GB2312" w:cs="楷体_GB2312"/>
              <w:sz w:val="28"/>
              <w:szCs w:val="28"/>
            </w:rPr>
            <w:instrText xml:space="preserve"> HYPERLINK \l _Toc20498 </w:instrText>
          </w:r>
          <w:r>
            <w:rPr>
              <w:rFonts w:hint="eastAsia" w:ascii="楷体_GB2312" w:hAnsi="楷体_GB2312" w:eastAsia="楷体_GB2312" w:cs="楷体_GB2312"/>
              <w:sz w:val="28"/>
              <w:szCs w:val="28"/>
            </w:rPr>
            <w:fldChar w:fldCharType="separate"/>
          </w:r>
          <w:r>
            <w:rPr>
              <w:rFonts w:hint="eastAsia" w:ascii="楷体_GB2312" w:hAnsi="楷体_GB2312" w:eastAsia="楷体_GB2312" w:cs="楷体_GB2312"/>
              <w:bCs/>
              <w:sz w:val="28"/>
              <w:szCs w:val="28"/>
              <w:lang w:eastAsia="zh-CN"/>
            </w:rPr>
            <w:t>中华人民共和国保守国家秘密法</w:t>
          </w:r>
          <w:r>
            <w:rPr>
              <w:rFonts w:hint="eastAsia" w:ascii="楷体_GB2312" w:hAnsi="楷体_GB2312" w:eastAsia="楷体_GB2312" w:cs="楷体_GB2312"/>
              <w:sz w:val="28"/>
              <w:szCs w:val="28"/>
            </w:rPr>
            <w:tab/>
          </w:r>
          <w:r>
            <w:rPr>
              <w:rFonts w:hint="eastAsia" w:ascii="楷体_GB2312" w:hAnsi="楷体_GB2312" w:eastAsia="楷体_GB2312" w:cs="楷体_GB2312"/>
              <w:sz w:val="28"/>
              <w:szCs w:val="28"/>
            </w:rPr>
            <w:fldChar w:fldCharType="begin"/>
          </w:r>
          <w:r>
            <w:rPr>
              <w:rFonts w:hint="eastAsia" w:ascii="楷体_GB2312" w:hAnsi="楷体_GB2312" w:eastAsia="楷体_GB2312" w:cs="楷体_GB2312"/>
              <w:sz w:val="28"/>
              <w:szCs w:val="28"/>
            </w:rPr>
            <w:instrText xml:space="preserve"> PAGEREF _Toc20498 \h </w:instrText>
          </w:r>
          <w:r>
            <w:rPr>
              <w:rFonts w:hint="eastAsia" w:ascii="楷体_GB2312" w:hAnsi="楷体_GB2312" w:eastAsia="楷体_GB2312" w:cs="楷体_GB2312"/>
              <w:sz w:val="28"/>
              <w:szCs w:val="28"/>
            </w:rPr>
            <w:fldChar w:fldCharType="separate"/>
          </w:r>
          <w:r>
            <w:rPr>
              <w:rFonts w:hint="eastAsia" w:ascii="楷体_GB2312" w:hAnsi="楷体_GB2312" w:eastAsia="楷体_GB2312" w:cs="楷体_GB2312"/>
              <w:sz w:val="28"/>
              <w:szCs w:val="28"/>
            </w:rPr>
            <w:t>87</w:t>
          </w:r>
          <w:r>
            <w:rPr>
              <w:rFonts w:hint="eastAsia" w:ascii="楷体_GB2312" w:hAnsi="楷体_GB2312" w:eastAsia="楷体_GB2312" w:cs="楷体_GB2312"/>
              <w:sz w:val="28"/>
              <w:szCs w:val="28"/>
            </w:rPr>
            <w:fldChar w:fldCharType="end"/>
          </w:r>
          <w:r>
            <w:rPr>
              <w:rFonts w:hint="eastAsia" w:ascii="楷体_GB2312" w:hAnsi="楷体_GB2312" w:eastAsia="楷体_GB2312" w:cs="楷体_GB2312"/>
              <w:sz w:val="28"/>
              <w:szCs w:val="28"/>
            </w:rPr>
            <w:fldChar w:fldCharType="end"/>
          </w:r>
        </w:p>
        <w:p>
          <w:pPr>
            <w:pStyle w:val="6"/>
            <w:keepNext w:val="0"/>
            <w:keepLines w:val="0"/>
            <w:pageBreakBefore w:val="0"/>
            <w:tabs>
              <w:tab w:val="right" w:leader="dot" w:pos="8306"/>
            </w:tabs>
            <w:kinsoku/>
            <w:wordWrap/>
            <w:overflowPunct/>
            <w:topLinePunct w:val="0"/>
            <w:autoSpaceDE/>
            <w:autoSpaceDN/>
            <w:bidi w:val="0"/>
            <w:adjustRightInd/>
            <w:snapToGrid/>
            <w:spacing w:line="600" w:lineRule="exact"/>
            <w:ind w:left="0" w:leftChars="0" w:firstLine="0" w:firstLineChars="0"/>
            <w:textAlignment w:val="auto"/>
            <w:rPr>
              <w:rFonts w:hint="eastAsia" w:ascii="楷体_GB2312" w:hAnsi="楷体_GB2312" w:eastAsia="楷体_GB2312" w:cs="楷体_GB2312"/>
              <w:sz w:val="28"/>
              <w:szCs w:val="28"/>
            </w:rPr>
          </w:pPr>
        </w:p>
        <w:p>
          <w:pPr>
            <w:pStyle w:val="9"/>
            <w:keepNext w:val="0"/>
            <w:keepLines w:val="0"/>
            <w:pageBreakBefore w:val="0"/>
            <w:tabs>
              <w:tab w:val="right" w:leader="dot" w:pos="8306"/>
            </w:tabs>
            <w:kinsoku/>
            <w:wordWrap/>
            <w:overflowPunct/>
            <w:topLinePunct w:val="0"/>
            <w:autoSpaceDE/>
            <w:autoSpaceDN/>
            <w:bidi w:val="0"/>
            <w:adjustRightInd/>
            <w:snapToGrid/>
            <w:spacing w:after="0" w:line="600" w:lineRule="exact"/>
            <w:jc w:val="center"/>
            <w:textAlignment w:val="auto"/>
            <w:rPr>
              <w:rFonts w:hint="eastAsia" w:ascii="仿宋_GB2312" w:hAnsi="仿宋_GB2312" w:eastAsia="仿宋_GB2312" w:cs="仿宋_GB2312"/>
              <w:sz w:val="32"/>
              <w:szCs w:val="32"/>
            </w:rPr>
            <w:sectPr>
              <w:pgSz w:w="11906" w:h="16838"/>
              <w:pgMar w:top="1440" w:right="1800" w:bottom="1440" w:left="1800" w:header="851" w:footer="992" w:gutter="0"/>
              <w:cols w:space="425" w:num="1"/>
              <w:docGrid w:type="lines" w:linePitch="312" w:charSpace="0"/>
            </w:sectPr>
          </w:pPr>
          <w:r>
            <w:rPr>
              <w:rFonts w:hint="eastAsia" w:ascii="楷体_GB2312" w:hAnsi="楷体_GB2312" w:eastAsia="楷体_GB2312" w:cs="楷体_GB2312"/>
              <w:sz w:val="28"/>
              <w:szCs w:val="28"/>
            </w:rPr>
            <w:fldChar w:fldCharType="end"/>
          </w:r>
        </w:p>
      </w:sdtContent>
    </w:sdt>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700" w:lineRule="exact"/>
        <w:ind w:left="0" w:right="0" w:firstLine="0"/>
        <w:jc w:val="center"/>
        <w:textAlignment w:val="auto"/>
        <w:outlineLvl w:val="0"/>
        <w:rPr>
          <w:rFonts w:hint="eastAsia" w:ascii="方正小标宋简体" w:hAnsi="方正小标宋简体" w:eastAsia="方正小标宋简体" w:cs="方正小标宋简体"/>
          <w:b w:val="0"/>
          <w:bCs/>
          <w:i w:val="0"/>
          <w:caps w:val="0"/>
          <w:color w:val="000000"/>
          <w:spacing w:val="0"/>
          <w:sz w:val="44"/>
          <w:szCs w:val="44"/>
        </w:rPr>
      </w:pPr>
      <w:bookmarkStart w:id="0" w:name="_Toc14526"/>
      <w:bookmarkStart w:id="1" w:name="_Toc16415"/>
      <w:r>
        <w:rPr>
          <w:rFonts w:hint="eastAsia" w:ascii="方正小标宋简体" w:hAnsi="方正小标宋简体" w:eastAsia="方正小标宋简体" w:cs="方正小标宋简体"/>
          <w:b w:val="0"/>
          <w:bCs/>
          <w:i w:val="0"/>
          <w:caps w:val="0"/>
          <w:color w:val="000000"/>
          <w:spacing w:val="0"/>
          <w:sz w:val="44"/>
          <w:szCs w:val="44"/>
        </w:rPr>
        <w:t>进一步深化对党的性质宗旨的认识</w:t>
      </w:r>
      <w:bookmarkEnd w:id="0"/>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700" w:lineRule="exact"/>
        <w:ind w:left="0" w:right="0" w:firstLine="0"/>
        <w:jc w:val="center"/>
        <w:textAlignment w:val="auto"/>
        <w:rPr>
          <w:rFonts w:hint="eastAsia" w:ascii="方正小标宋简体" w:hAnsi="方正小标宋简体" w:eastAsia="方正小标宋简体" w:cs="方正小标宋简体"/>
          <w:b w:val="0"/>
          <w:bCs/>
          <w:i w:val="0"/>
          <w:caps w:val="0"/>
          <w:color w:val="000000" w:themeColor="text1"/>
          <w:spacing w:val="0"/>
          <w:sz w:val="44"/>
          <w:szCs w:val="44"/>
          <w14:textFill>
            <w14:solidFill>
              <w14:schemeClr w14:val="tx1"/>
            </w14:solidFill>
          </w14:textFill>
        </w:rPr>
      </w:pPr>
      <w:r>
        <w:rPr>
          <w:rFonts w:hint="eastAsia" w:ascii="方正小标宋简体" w:hAnsi="方正小标宋简体" w:eastAsia="方正小标宋简体" w:cs="方正小标宋简体"/>
          <w:b w:val="0"/>
          <w:bCs/>
          <w:i w:val="0"/>
          <w:caps w:val="0"/>
          <w:color w:val="000000" w:themeColor="text1"/>
          <w:spacing w:val="0"/>
          <w:sz w:val="44"/>
          <w:szCs w:val="44"/>
          <w14:textFill>
            <w14:solidFill>
              <w14:schemeClr w14:val="tx1"/>
            </w14:solidFill>
          </w14:textFill>
        </w:rPr>
        <w:t>——论扎实开展党史学习教育</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700" w:lineRule="exact"/>
        <w:ind w:left="0" w:right="0" w:firstLine="0"/>
        <w:jc w:val="center"/>
        <w:textAlignment w:val="auto"/>
        <w:rPr>
          <w:rFonts w:hint="eastAsia" w:ascii="方正小标宋简体" w:hAnsi="方正小标宋简体" w:eastAsia="方正小标宋简体" w:cs="方正小标宋简体"/>
          <w:b w:val="0"/>
          <w:bCs w:val="0"/>
          <w:i w:val="0"/>
          <w:caps w:val="0"/>
          <w:color w:val="000000" w:themeColor="text1"/>
          <w:spacing w:val="0"/>
          <w:sz w:val="32"/>
          <w:szCs w:val="32"/>
          <w14:textFill>
            <w14:solidFill>
              <w14:schemeClr w14:val="tx1"/>
            </w14:solidFill>
          </w14:textFill>
        </w:rPr>
      </w:pPr>
      <w:r>
        <w:rPr>
          <w:rFonts w:hint="eastAsia" w:ascii="方正小标宋简体" w:hAnsi="方正小标宋简体" w:eastAsia="方正小标宋简体" w:cs="方正小标宋简体"/>
          <w:b w:val="0"/>
          <w:bCs w:val="0"/>
          <w:i w:val="0"/>
          <w:caps w:val="0"/>
          <w:color w:val="000000" w:themeColor="text1"/>
          <w:spacing w:val="0"/>
          <w:kern w:val="0"/>
          <w:sz w:val="32"/>
          <w:szCs w:val="32"/>
          <w:lang w:val="en-US" w:eastAsia="zh-CN" w:bidi="ar"/>
          <w14:textFill>
            <w14:solidFill>
              <w14:schemeClr w14:val="tx1"/>
            </w14:solidFill>
          </w14:textFill>
        </w:rPr>
        <w:t>人民日报评论员</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700" w:lineRule="exact"/>
        <w:ind w:left="0" w:right="0" w:firstLine="0"/>
        <w:jc w:val="center"/>
        <w:textAlignment w:val="auto"/>
        <w:rPr>
          <w:rFonts w:hint="eastAsia" w:ascii="楷体_GB2312" w:hAnsi="楷体_GB2312" w:eastAsia="楷体_GB2312" w:cs="楷体_GB2312"/>
          <w:b w:val="0"/>
          <w:i w:val="0"/>
          <w:caps w:val="0"/>
          <w:color w:val="000000" w:themeColor="text1"/>
          <w:spacing w:val="0"/>
          <w:sz w:val="28"/>
          <w:szCs w:val="28"/>
          <w14:textFill>
            <w14:solidFill>
              <w14:schemeClr w14:val="tx1"/>
            </w14:solidFill>
          </w14:textFill>
        </w:rPr>
      </w:pPr>
      <w:r>
        <w:rPr>
          <w:rFonts w:hint="eastAsia" w:ascii="楷体_GB2312" w:hAnsi="楷体_GB2312" w:eastAsia="楷体_GB2312" w:cs="楷体_GB2312"/>
          <w:b w:val="0"/>
          <w:i w:val="0"/>
          <w:caps w:val="0"/>
          <w:color w:val="000000" w:themeColor="text1"/>
          <w:spacing w:val="0"/>
          <w:kern w:val="0"/>
          <w:sz w:val="28"/>
          <w:szCs w:val="28"/>
          <w:lang w:val="en-US" w:eastAsia="zh-CN" w:bidi="ar"/>
          <w14:textFill>
            <w14:solidFill>
              <w14:schemeClr w14:val="tx1"/>
            </w14:solidFill>
          </w14:textFill>
        </w:rPr>
        <w:t>2021年04月12日    来源：</w:t>
      </w:r>
      <w:r>
        <w:rPr>
          <w:rFonts w:hint="eastAsia" w:ascii="楷体_GB2312" w:hAnsi="楷体_GB2312" w:eastAsia="楷体_GB2312" w:cs="楷体_GB2312"/>
          <w:b w:val="0"/>
          <w:i w:val="0"/>
          <w:caps w:val="0"/>
          <w:color w:val="000000" w:themeColor="text1"/>
          <w:spacing w:val="0"/>
          <w:kern w:val="0"/>
          <w:sz w:val="28"/>
          <w:szCs w:val="28"/>
          <w:u w:val="none"/>
          <w:lang w:val="en-US" w:eastAsia="zh-CN" w:bidi="ar"/>
          <w14:textFill>
            <w14:solidFill>
              <w14:schemeClr w14:val="tx1"/>
            </w14:solidFill>
          </w14:textFill>
        </w:rPr>
        <w:fldChar w:fldCharType="begin"/>
      </w:r>
      <w:r>
        <w:rPr>
          <w:rFonts w:hint="eastAsia" w:ascii="楷体_GB2312" w:hAnsi="楷体_GB2312" w:eastAsia="楷体_GB2312" w:cs="楷体_GB2312"/>
          <w:b w:val="0"/>
          <w:i w:val="0"/>
          <w:caps w:val="0"/>
          <w:color w:val="000000" w:themeColor="text1"/>
          <w:spacing w:val="0"/>
          <w:kern w:val="0"/>
          <w:sz w:val="28"/>
          <w:szCs w:val="28"/>
          <w:u w:val="none"/>
          <w:lang w:val="en-US" w:eastAsia="zh-CN" w:bidi="ar"/>
          <w14:textFill>
            <w14:solidFill>
              <w14:schemeClr w14:val="tx1"/>
            </w14:solidFill>
          </w14:textFill>
        </w:rPr>
        <w:instrText xml:space="preserve"> HYPERLINK "http://paper.people.com.cn/rmrb/html/2021-04/12/nw.D110000renmrb_20210412_2-01.htm" \t "http://dangshi.people.cn/n1/2021/0412/_blank" </w:instrText>
      </w:r>
      <w:r>
        <w:rPr>
          <w:rFonts w:hint="eastAsia" w:ascii="楷体_GB2312" w:hAnsi="楷体_GB2312" w:eastAsia="楷体_GB2312" w:cs="楷体_GB2312"/>
          <w:b w:val="0"/>
          <w:i w:val="0"/>
          <w:caps w:val="0"/>
          <w:color w:val="000000" w:themeColor="text1"/>
          <w:spacing w:val="0"/>
          <w:kern w:val="0"/>
          <w:sz w:val="28"/>
          <w:szCs w:val="28"/>
          <w:u w:val="none"/>
          <w:lang w:val="en-US" w:eastAsia="zh-CN" w:bidi="ar"/>
          <w14:textFill>
            <w14:solidFill>
              <w14:schemeClr w14:val="tx1"/>
            </w14:solidFill>
          </w14:textFill>
        </w:rPr>
        <w:fldChar w:fldCharType="separate"/>
      </w:r>
      <w:r>
        <w:rPr>
          <w:rStyle w:val="16"/>
          <w:rFonts w:hint="eastAsia" w:ascii="楷体_GB2312" w:hAnsi="楷体_GB2312" w:eastAsia="楷体_GB2312" w:cs="楷体_GB2312"/>
          <w:b w:val="0"/>
          <w:i w:val="0"/>
          <w:caps w:val="0"/>
          <w:color w:val="000000" w:themeColor="text1"/>
          <w:spacing w:val="0"/>
          <w:sz w:val="28"/>
          <w:szCs w:val="28"/>
          <w:u w:val="none"/>
          <w14:textFill>
            <w14:solidFill>
              <w14:schemeClr w14:val="tx1"/>
            </w14:solidFill>
          </w14:textFill>
        </w:rPr>
        <w:t>人民网－人民日报</w:t>
      </w:r>
      <w:r>
        <w:rPr>
          <w:rFonts w:hint="eastAsia" w:ascii="楷体_GB2312" w:hAnsi="楷体_GB2312" w:eastAsia="楷体_GB2312" w:cs="楷体_GB2312"/>
          <w:b w:val="0"/>
          <w:i w:val="0"/>
          <w:caps w:val="0"/>
          <w:color w:val="000000" w:themeColor="text1"/>
          <w:spacing w:val="0"/>
          <w:kern w:val="0"/>
          <w:sz w:val="28"/>
          <w:szCs w:val="28"/>
          <w:u w:val="none"/>
          <w:lang w:val="en-US" w:eastAsia="zh-CN" w:bidi="ar"/>
          <w14:textFill>
            <w14:solidFill>
              <w14:schemeClr w14:val="tx1"/>
            </w14:solidFill>
          </w14:textFill>
        </w:rPr>
        <w:fldChar w:fldCharType="end"/>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80" w:lineRule="exact"/>
        <w:ind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i w:val="0"/>
          <w:caps w:val="0"/>
          <w:color w:val="000000"/>
          <w:spacing w:val="0"/>
          <w:sz w:val="32"/>
          <w:szCs w:val="32"/>
        </w:rPr>
        <w:t>不忘初心，方得始终。一个人也好，一个政党也好，最难得的就是历经沧桑而初心不改、饱经风霜而本色依旧。</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80" w:lineRule="exact"/>
        <w:ind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i w:val="0"/>
          <w:caps w:val="0"/>
          <w:color w:val="000000"/>
          <w:spacing w:val="0"/>
          <w:sz w:val="32"/>
          <w:szCs w:val="32"/>
        </w:rPr>
        <w:t>习近平总书记在党史学习教育动员大会上强调，我们党的百年历史，就是一部践行党的初心使命的历史，就是一部党与人民心连心、同呼吸、共命运的历史。要教育引导全党深刻认识党的性质宗旨，坚持一切为了人民、一切依靠人民，始终把人民放在心中最高位置、把人民对美好生活的向往作为奋斗目标，推动改革发展成果更多更公平惠及全体人民，推动共同富裕取得更为明显的实质性进展，把14亿中国人民凝聚成推动中华民族伟大复兴的磅礴力量。扎实开展党史学习教育，就要进一步深化对党的性质宗旨的认识，始终保持马克思主义政党的鲜明本色。</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80" w:lineRule="exact"/>
        <w:ind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i w:val="0"/>
          <w:caps w:val="0"/>
          <w:color w:val="000000"/>
          <w:spacing w:val="0"/>
          <w:sz w:val="32"/>
          <w:szCs w:val="32"/>
        </w:rPr>
        <w:t>为什么人的问题，是检验一个政党、一个政权性质的试金石。我们党来自于人民，党的根基和血脉在人民。为人民而生，因人民而兴，始终同人民在一起，为人民利益而奋斗，是我们党立党兴党强党的根本出发点和落脚点。回望过去，我们党领导人民打土豪、分田地，是为人民根本利益而斗争；领导人民开展抗日战争、赶走日本侵略者，是为人民根本利益而斗争；领导人民推翻蒋家王朝、建立新中国，是为人民根本利益而斗争；领导人民进行社会主义革命和建设、改变一穷二白的国家面貌，是为人民根本利益而斗争；领导人民实行改革开放、推进社会主义现代化，同样是为了人民根本利益而斗争。中国共产党是中国工人阶级的先锋队，同时是中国人民和中华民族的先锋队。党章明确规定，党坚持全心全意为人民服务。这就要求我们必须坚持尊重社会发展规律和尊重人民历史主体地位的一致性、为崇高理想奋斗和为最广大人民谋利益的一致性、完成党的各项工作和实现人民利益的一致性，正如习近平总书记的鲜明宣示，“江山就是人民，人民就是江山”。</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80" w:lineRule="exact"/>
        <w:ind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i w:val="0"/>
          <w:caps w:val="0"/>
          <w:color w:val="000000"/>
          <w:spacing w:val="0"/>
          <w:sz w:val="32"/>
          <w:szCs w:val="32"/>
        </w:rPr>
        <w:t>人民是我们党执政的最大底气，是我们党的力量源泉。党与人民风雨同舟、生死与共，始终保持血肉联系，是党战胜一切困难和风险的根本保证。大革命失败后，30多万牺牲的革命者中大部分是跟随我们党闹革命的人民群众；红军时期，人民群众就是党和人民军队的铜墙铁壁；抗日战争时期，我们党广泛发动群众，使日本侵略者陷入了人民战争的汪洋大海；淮海战役胜利是靠老百姓用小车推出来的，渡江战役胜利是靠老百姓用小船划出来的；社会主义革命和建设的成就是人民群众干出来的；改革开放的历史伟剧是亿万人民群众主演的。一百年来，从建党的开天辟地，到新中国成立的改天换地，到改革开放的翻天覆地，再到党的十八大以来取得历史性成就、发生历史性变革，创造让世界刮目相看的新奇迹。这些伟大成就的取得，靠的就是始终与群众有福同享、有难同当，有盐同咸、无盐同淡，始终同人民群众保持血肉联系；靠的就是始终坚持以人民为中心，一切为了人民、一切依靠人民，永远为人民利益而奋斗。</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80" w:lineRule="exact"/>
        <w:ind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i w:val="0"/>
          <w:caps w:val="0"/>
          <w:color w:val="000000"/>
          <w:spacing w:val="0"/>
          <w:sz w:val="32"/>
          <w:szCs w:val="32"/>
        </w:rPr>
        <w:t>进一步深化对党的性质宗旨的认识，要不断砥砺初心使命，引导广大党员、干部增强历史自觉、厚植人民情怀。百年征程波澜壮阔，百年初心历久弥坚。从石库门到天安门，从兴业路到复兴路，我们党百年来所付出的一切努力、进行的一切斗争、作出的一切牺牲，都是为了人民幸福和民族复兴。这个初心和使命，激励着一代又一代中国共产党人前赴后继、接续奋斗。方志敏大义凛然、坚贞不屈，写下“假如我还能生存，那我生存一天就要为中国呼喊一天”。红军战士把仅有的一床被子剪下一半留给群众，使老百姓认识到“共产党是只有一床被子也要分一半给你的好人”。焦裕禄全心全意为人民谋利益，“心中装着全体人民、唯独没有他自己”。黄文秀在脱贫攻坚第一线倾情投入、奉献自我，“谱写了新时代的青春之歌”……不忘初心、牢记使命，是加强党的建设的永恒课题和全体党员、干部的终身课题。在全党开展党史学习教育，是巩固发展“不忘初心、牢记使命”主题教育成果的重大举措。党史学习教育的一个重要任务就是教育引导全党同志坚定理想信念、筑牢初心使命。要教育引导广大党员、干部从党的百年非凡历程中汲取坚守初心使命的营养剂和动力源，时时叩问初心、处处践行使命，永远保持“赶考”的清醒。正如习近平总书记强调的：“任何时候我们都要不忘初心、牢记使命，都不能忘了人民这个根，永远做忠诚的人民服务员。”</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80" w:lineRule="exact"/>
        <w:ind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i w:val="0"/>
          <w:caps w:val="0"/>
          <w:color w:val="000000"/>
          <w:spacing w:val="0"/>
          <w:sz w:val="32"/>
          <w:szCs w:val="32"/>
        </w:rPr>
        <w:t>进一步深化对党的性质宗旨的认识，要切实为群众办实事解难题，把为民造福作为最重要的政绩。党史学习教育不仅要让广大党员、干部受洗礼、有提升，也要让群众受教育、得实惠。党中央把开展“我为群众办实事”实践活动作为学习教育的重要内容，目的就是推动全党把学习和实践结合起来，在为民排忧解难中自觉践行党的初心使命。要把学习党史同总结经验、观照现实、推动工作结合起来，同解决实际问题结合起来，防止学习和工作“两张皮”。要强化公仆意识和为民情怀，首先是立足本职岗位为人民服务，发挥好共产党员先锋模范作用，还要从最困难的群众入手、从最突出的问题抓起、从最现实的利益出发，切实解决基层的困难事、群众的烦心事。用心用情用力解决好群众“急难愁盼”问题，才能把学习成效转化为工作动力和成效，让群众有更多、更直接、更实在的获得感、幸福感、安全感。</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80" w:lineRule="exact"/>
        <w:ind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i w:val="0"/>
          <w:caps w:val="0"/>
          <w:color w:val="000000"/>
          <w:spacing w:val="0"/>
          <w:sz w:val="32"/>
          <w:szCs w:val="32"/>
        </w:rPr>
        <w:t>了解历史，才能看得远；永葆初心，才能走得远。始终把人民立场作为根本立场，牢记党的初心和使命，牢记党的性质和宗旨，坚持人民至上、紧紧依靠人民、不断造福人民、牢牢植根人民，实现好、维护好、发展好最广大人民根本利益，我们就一定能团结带领亿万人民在新的伟大征程上创造新的时代辉煌、铸就新的历史伟业。</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80" w:lineRule="exact"/>
        <w:ind w:right="0"/>
        <w:jc w:val="center"/>
        <w:textAlignment w:val="auto"/>
        <w:outlineLvl w:val="0"/>
        <w:rPr>
          <w:rFonts w:hint="eastAsia" w:ascii="仿宋_GB2312" w:hAnsi="仿宋_GB2312" w:eastAsia="仿宋_GB2312" w:cs="仿宋_GB2312"/>
          <w:b w:val="0"/>
          <w:i w:val="0"/>
          <w:caps w:val="0"/>
          <w:color w:val="000000"/>
          <w:spacing w:val="0"/>
          <w:sz w:val="32"/>
          <w:szCs w:val="32"/>
        </w:rPr>
      </w:pPr>
      <w:bookmarkStart w:id="2" w:name="_Toc18200"/>
      <w:r>
        <w:rPr>
          <w:rFonts w:hint="eastAsia" w:ascii="仿宋_GB2312" w:hAnsi="仿宋_GB2312" w:eastAsia="仿宋_GB2312" w:cs="仿宋_GB2312"/>
          <w:b w:val="0"/>
          <w:i w:val="0"/>
          <w:caps w:val="0"/>
          <w:color w:val="000000"/>
          <w:spacing w:val="0"/>
          <w:sz w:val="32"/>
          <w:szCs w:val="32"/>
        </w:rPr>
        <w:t>《 人民日报 》（ 2021年04月12日 01 版）</w:t>
      </w:r>
      <w:bookmarkEnd w:id="2"/>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80" w:lineRule="exact"/>
        <w:ind w:right="0"/>
        <w:jc w:val="center"/>
        <w:textAlignment w:val="auto"/>
        <w:outlineLvl w:val="0"/>
        <w:rPr>
          <w:rFonts w:hint="eastAsia" w:ascii="仿宋_GB2312" w:hAnsi="仿宋_GB2312" w:eastAsia="仿宋_GB2312" w:cs="仿宋_GB2312"/>
          <w:b w:val="0"/>
          <w:i w:val="0"/>
          <w:caps w:val="0"/>
          <w:color w:val="000000"/>
          <w:spacing w:val="0"/>
          <w:sz w:val="32"/>
          <w:szCs w:val="32"/>
        </w:rPr>
      </w:pP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80" w:lineRule="exact"/>
        <w:ind w:right="0"/>
        <w:jc w:val="center"/>
        <w:textAlignment w:val="auto"/>
        <w:outlineLvl w:val="0"/>
        <w:rPr>
          <w:rFonts w:hint="eastAsia" w:ascii="仿宋_GB2312" w:hAnsi="仿宋_GB2312" w:eastAsia="仿宋_GB2312" w:cs="仿宋_GB2312"/>
          <w:b w:val="0"/>
          <w:i w:val="0"/>
          <w:caps w:val="0"/>
          <w:color w:val="000000"/>
          <w:spacing w:val="0"/>
          <w:sz w:val="32"/>
          <w:szCs w:val="32"/>
        </w:rPr>
      </w:pP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700" w:lineRule="exact"/>
        <w:ind w:right="0"/>
        <w:jc w:val="center"/>
        <w:textAlignment w:val="auto"/>
        <w:outlineLvl w:val="0"/>
        <w:rPr>
          <w:rFonts w:hint="eastAsia" w:ascii="方正小标宋简体" w:hAnsi="方正小标宋简体" w:eastAsia="方正小标宋简体" w:cs="方正小标宋简体"/>
          <w:b w:val="0"/>
          <w:i w:val="0"/>
          <w:caps w:val="0"/>
          <w:color w:val="000000"/>
          <w:spacing w:val="0"/>
          <w:sz w:val="44"/>
          <w:szCs w:val="44"/>
        </w:rPr>
      </w:pPr>
      <w:bookmarkStart w:id="3" w:name="_Toc19763"/>
      <w:r>
        <w:rPr>
          <w:rFonts w:hint="eastAsia" w:ascii="方正小标宋简体" w:hAnsi="方正小标宋简体" w:eastAsia="方正小标宋简体" w:cs="方正小标宋简体"/>
          <w:b w:val="0"/>
          <w:i w:val="0"/>
          <w:caps w:val="0"/>
          <w:color w:val="000000"/>
          <w:spacing w:val="0"/>
          <w:sz w:val="44"/>
          <w:szCs w:val="44"/>
        </w:rPr>
        <w:t>“永远跟党走”，吹响接续奋斗的号角</w:t>
      </w:r>
      <w:bookmarkEnd w:id="3"/>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700" w:lineRule="exact"/>
        <w:ind w:right="0"/>
        <w:jc w:val="center"/>
        <w:textAlignment w:val="auto"/>
        <w:rPr>
          <w:rFonts w:hint="eastAsia" w:ascii="方正小标宋简体" w:hAnsi="方正小标宋简体" w:eastAsia="方正小标宋简体" w:cs="方正小标宋简体"/>
          <w:b w:val="0"/>
          <w:i w:val="0"/>
          <w:caps w:val="0"/>
          <w:color w:val="000000"/>
          <w:spacing w:val="0"/>
          <w:sz w:val="32"/>
          <w:szCs w:val="32"/>
        </w:rPr>
      </w:pPr>
      <w:r>
        <w:rPr>
          <w:rFonts w:hint="eastAsia" w:ascii="方正小标宋简体" w:hAnsi="方正小标宋简体" w:eastAsia="方正小标宋简体" w:cs="方正小标宋简体"/>
          <w:b w:val="0"/>
          <w:i w:val="0"/>
          <w:caps w:val="0"/>
          <w:color w:val="000000"/>
          <w:spacing w:val="0"/>
          <w:sz w:val="32"/>
          <w:szCs w:val="32"/>
        </w:rPr>
        <w:t>（评论员观察）</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700" w:lineRule="exact"/>
        <w:ind w:right="0"/>
        <w:jc w:val="center"/>
        <w:textAlignment w:val="auto"/>
        <w:rPr>
          <w:rFonts w:hint="eastAsia" w:ascii="仿宋_GB2312" w:hAnsi="仿宋_GB2312" w:eastAsia="仿宋_GB2312" w:cs="仿宋_GB2312"/>
          <w:b w:val="0"/>
          <w:i w:val="0"/>
          <w:caps w:val="0"/>
          <w:color w:val="000000"/>
          <w:spacing w:val="0"/>
          <w:sz w:val="32"/>
          <w:szCs w:val="32"/>
        </w:rPr>
      </w:pPr>
      <w:r>
        <w:rPr>
          <w:rFonts w:hint="eastAsia" w:ascii="楷体_GB2312" w:hAnsi="楷体_GB2312" w:eastAsia="楷体_GB2312" w:cs="楷体_GB2312"/>
          <w:b w:val="0"/>
          <w:i w:val="0"/>
          <w:caps w:val="0"/>
          <w:color w:val="000000"/>
          <w:spacing w:val="0"/>
          <w:sz w:val="32"/>
          <w:szCs w:val="32"/>
          <w:lang w:val="en-US" w:eastAsia="zh-CN"/>
        </w:rPr>
        <w:t>2021年04月26日 来源：</w:t>
      </w:r>
      <w:r>
        <w:rPr>
          <w:rFonts w:hint="eastAsia" w:ascii="楷体_GB2312" w:hAnsi="楷体_GB2312" w:eastAsia="楷体_GB2312" w:cs="楷体_GB2312"/>
          <w:b w:val="0"/>
          <w:i w:val="0"/>
          <w:caps w:val="0"/>
          <w:color w:val="000000"/>
          <w:spacing w:val="0"/>
          <w:sz w:val="32"/>
          <w:szCs w:val="32"/>
          <w:lang w:val="en-US" w:eastAsia="zh-CN"/>
        </w:rPr>
        <w:fldChar w:fldCharType="begin"/>
      </w:r>
      <w:r>
        <w:rPr>
          <w:rFonts w:hint="eastAsia" w:ascii="楷体_GB2312" w:hAnsi="楷体_GB2312" w:eastAsia="楷体_GB2312" w:cs="楷体_GB2312"/>
          <w:b w:val="0"/>
          <w:i w:val="0"/>
          <w:caps w:val="0"/>
          <w:color w:val="000000"/>
          <w:spacing w:val="0"/>
          <w:sz w:val="32"/>
          <w:szCs w:val="32"/>
          <w:lang w:val="en-US" w:eastAsia="zh-CN"/>
        </w:rPr>
        <w:instrText xml:space="preserve"> HYPERLINK "http://paper.people.com.cn/rmrb/html/2021-04/26/nw.D110000renmrb_20210426_1-05.htm" \t "http://dangshi.people.cn/n1/2021/0426/_blank" </w:instrText>
      </w:r>
      <w:r>
        <w:rPr>
          <w:rFonts w:hint="eastAsia" w:ascii="楷体_GB2312" w:hAnsi="楷体_GB2312" w:eastAsia="楷体_GB2312" w:cs="楷体_GB2312"/>
          <w:b w:val="0"/>
          <w:i w:val="0"/>
          <w:caps w:val="0"/>
          <w:color w:val="000000"/>
          <w:spacing w:val="0"/>
          <w:sz w:val="32"/>
          <w:szCs w:val="32"/>
          <w:lang w:val="en-US" w:eastAsia="zh-CN"/>
        </w:rPr>
        <w:fldChar w:fldCharType="separate"/>
      </w:r>
      <w:r>
        <w:rPr>
          <w:rFonts w:hint="eastAsia" w:ascii="楷体_GB2312" w:hAnsi="楷体_GB2312" w:eastAsia="楷体_GB2312" w:cs="楷体_GB2312"/>
          <w:b w:val="0"/>
          <w:i w:val="0"/>
          <w:caps w:val="0"/>
          <w:color w:val="000000"/>
          <w:spacing w:val="0"/>
          <w:sz w:val="32"/>
          <w:szCs w:val="32"/>
        </w:rPr>
        <w:t>人民网－人民日报</w:t>
      </w:r>
      <w:r>
        <w:rPr>
          <w:rFonts w:hint="eastAsia" w:ascii="楷体_GB2312" w:hAnsi="楷体_GB2312" w:eastAsia="楷体_GB2312" w:cs="楷体_GB2312"/>
          <w:b w:val="0"/>
          <w:i w:val="0"/>
          <w:caps w:val="0"/>
          <w:color w:val="000000"/>
          <w:spacing w:val="0"/>
          <w:sz w:val="32"/>
          <w:szCs w:val="32"/>
          <w:lang w:val="en-US" w:eastAsia="zh-CN"/>
        </w:rPr>
        <w:fldChar w:fldCharType="end"/>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rPr>
          <w:rFonts w:hint="eastAsia" w:ascii="仿宋_GB2312" w:hAnsi="仿宋_GB2312" w:eastAsia="仿宋_GB2312" w:cs="仿宋_GB2312"/>
          <w:b w:val="0"/>
          <w:i w:val="0"/>
          <w:caps w:val="0"/>
          <w:color w:val="000000"/>
          <w:spacing w:val="0"/>
          <w:sz w:val="32"/>
          <w:szCs w:val="32"/>
        </w:rPr>
      </w:pPr>
      <w:r>
        <w:rPr>
          <w:rFonts w:hint="eastAsia" w:ascii="仿宋_GB2312" w:hAnsi="仿宋_GB2312" w:eastAsia="仿宋_GB2312" w:cs="仿宋_GB2312"/>
          <w:b w:val="0"/>
          <w:i w:val="0"/>
          <w:caps w:val="0"/>
          <w:color w:val="000000"/>
          <w:spacing w:val="0"/>
          <w:sz w:val="32"/>
          <w:szCs w:val="32"/>
        </w:rPr>
        <w:t>最伟大的力量源于人民，有了人民群众的拥护和支持，我们就有了不断从胜利走向胜利的底气</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rPr>
          <w:rFonts w:hint="eastAsia" w:ascii="仿宋_GB2312" w:hAnsi="仿宋_GB2312" w:eastAsia="仿宋_GB2312" w:cs="仿宋_GB2312"/>
          <w:b w:val="0"/>
          <w:i w:val="0"/>
          <w:caps w:val="0"/>
          <w:color w:val="000000"/>
          <w:spacing w:val="0"/>
          <w:sz w:val="32"/>
          <w:szCs w:val="32"/>
        </w:rPr>
      </w:pPr>
      <w:r>
        <w:rPr>
          <w:rFonts w:hint="eastAsia" w:ascii="仿宋_GB2312" w:hAnsi="仿宋_GB2312" w:eastAsia="仿宋_GB2312" w:cs="仿宋_GB2312"/>
          <w:b w:val="0"/>
          <w:i w:val="0"/>
          <w:caps w:val="0"/>
          <w:color w:val="000000"/>
          <w:spacing w:val="0"/>
          <w:sz w:val="32"/>
          <w:szCs w:val="32"/>
        </w:rPr>
        <w:t>把苦难辉煌的过去、日新月异的现在、光明宏大的未来贯通起来，就能让人们自觉将热情转化为“听党话、跟党走”的实际行动</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rPr>
          <w:rFonts w:hint="eastAsia" w:ascii="仿宋_GB2312" w:hAnsi="仿宋_GB2312" w:eastAsia="仿宋_GB2312" w:cs="仿宋_GB2312"/>
          <w:b w:val="0"/>
          <w:i w:val="0"/>
          <w:caps w:val="0"/>
          <w:color w:val="000000"/>
          <w:spacing w:val="0"/>
          <w:sz w:val="32"/>
          <w:szCs w:val="32"/>
        </w:rPr>
      </w:pPr>
      <w:r>
        <w:rPr>
          <w:rFonts w:hint="eastAsia" w:ascii="仿宋_GB2312" w:hAnsi="仿宋_GB2312" w:eastAsia="仿宋_GB2312" w:cs="仿宋_GB2312"/>
          <w:b w:val="0"/>
          <w:i w:val="0"/>
          <w:caps w:val="0"/>
          <w:color w:val="000000"/>
          <w:spacing w:val="0"/>
          <w:sz w:val="32"/>
          <w:szCs w:val="32"/>
        </w:rPr>
        <w:t>“没有共产党就没有新中国……”随着党史学习教育的开展，熟悉的旋律不时萦绕耳畔。历经岁月的洗礼，这首红色歌曲至今仍广为传唱。人们从歌声中感悟信仰力量，激扬奋斗热情，唱出了只有中国共产党才能领导中国人民争取国家独立、民族解放、人民幸福的历史必然，更唱出了对我们党一如既往的拥护和“永远跟党走”的坚定信念。</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rPr>
          <w:rFonts w:hint="eastAsia" w:ascii="仿宋_GB2312" w:hAnsi="仿宋_GB2312" w:eastAsia="仿宋_GB2312" w:cs="仿宋_GB2312"/>
          <w:b w:val="0"/>
          <w:i w:val="0"/>
          <w:caps w:val="0"/>
          <w:color w:val="000000"/>
          <w:spacing w:val="0"/>
          <w:sz w:val="32"/>
          <w:szCs w:val="32"/>
        </w:rPr>
      </w:pPr>
      <w:r>
        <w:rPr>
          <w:rFonts w:hint="eastAsia" w:ascii="仿宋_GB2312" w:hAnsi="仿宋_GB2312" w:eastAsia="仿宋_GB2312" w:cs="仿宋_GB2312"/>
          <w:b w:val="0"/>
          <w:i w:val="0"/>
          <w:caps w:val="0"/>
          <w:color w:val="000000"/>
          <w:spacing w:val="0"/>
          <w:sz w:val="32"/>
          <w:szCs w:val="32"/>
        </w:rPr>
        <w:t>今年是中国共产党成立100周年。不久前，中共中央办公厅印发《关于庆祝中国共产党成立100周年组织开展“永远跟党走”群众性主题宣传教育活动的通知》，强调要组织开展形式多样、内容丰富的群众性主题宣传教育活动，大力唱响共产党好、社会主义好、改革开放好、伟大祖国好、各族人民好的时代主旋律。</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rPr>
          <w:rFonts w:hint="eastAsia" w:ascii="仿宋_GB2312" w:hAnsi="仿宋_GB2312" w:eastAsia="仿宋_GB2312" w:cs="仿宋_GB2312"/>
          <w:b w:val="0"/>
          <w:i w:val="0"/>
          <w:caps w:val="0"/>
          <w:color w:val="000000"/>
          <w:spacing w:val="0"/>
          <w:sz w:val="32"/>
          <w:szCs w:val="32"/>
        </w:rPr>
      </w:pPr>
      <w:r>
        <w:rPr>
          <w:rFonts w:hint="eastAsia" w:ascii="仿宋_GB2312" w:hAnsi="仿宋_GB2312" w:eastAsia="仿宋_GB2312" w:cs="仿宋_GB2312"/>
          <w:b w:val="0"/>
          <w:i w:val="0"/>
          <w:caps w:val="0"/>
          <w:color w:val="000000"/>
          <w:spacing w:val="0"/>
          <w:sz w:val="32"/>
          <w:szCs w:val="32"/>
        </w:rPr>
        <w:t>“永远跟党走”，源于不变的初心。“最后一碗米送去做军粮，最后一尺布送去做军装，最后一件老棉袄盖在担架上，最后一个亲骨肉送去上战场”。生动的民间歌谣，饱含着革命战争年代人民踊跃支前的热情。江西瑞金华屋村红军祠主墙上，镌刻着“永远热爱党、永远跟党走”十个大字，洋溢着摆脱贫困、逐梦小康的喜悦，表达着村民对新时代最真挚的情意。百年征程波澜壮阔，百年初心历久弥坚。我们党的百年历史，就是一部践行党的初心使命的历史，就是一部党与人民心连心、同呼吸、共命运的历史。特别是党的十八大以来，以习近平同志为核心的党中央坚持以人民为中心的发展思想，把增进人民福祉、促进人的全面发展作为发展的出发点和落脚点，推动全面建成小康社会取得伟大历史性成就，脱贫攻坚战取得全面胜利。正因为不忘初心、牢记使命，中国共产党始终得到人民的拥护和支持。</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rPr>
          <w:rFonts w:hint="eastAsia" w:ascii="仿宋_GB2312" w:hAnsi="仿宋_GB2312" w:eastAsia="仿宋_GB2312" w:cs="仿宋_GB2312"/>
          <w:b w:val="0"/>
          <w:i w:val="0"/>
          <w:caps w:val="0"/>
          <w:color w:val="000000"/>
          <w:spacing w:val="0"/>
          <w:sz w:val="32"/>
          <w:szCs w:val="32"/>
        </w:rPr>
      </w:pPr>
      <w:r>
        <w:rPr>
          <w:rFonts w:hint="eastAsia" w:ascii="仿宋_GB2312" w:hAnsi="仿宋_GB2312" w:eastAsia="仿宋_GB2312" w:cs="仿宋_GB2312"/>
          <w:b w:val="0"/>
          <w:i w:val="0"/>
          <w:caps w:val="0"/>
          <w:color w:val="000000"/>
          <w:spacing w:val="0"/>
          <w:sz w:val="32"/>
          <w:szCs w:val="32"/>
        </w:rPr>
        <w:t>“永远跟党走”，蕴含人民的伟力。回望历史，淮海战役的胜利，是老百姓用小推车推出来的；渡江战役的胜利，是老百姓用小船划出来的；热火朝天的社会主义建设，是老百姓撸起袖子干出来的；改革开放的伟大事业，是亿万人民满怀激情创造出来的……正是因为广大人民群众始终坚定“听党话、跟党走”，风雨无阻向前进，我们才能凝聚起强大的奋进力量，迎来从站起来、富起来到强起来的伟大飞跃。最伟大的力量源于人民，有了人民群众的拥护和支持，我们就有了不断从胜利走向胜利的底气。14亿中国人民听党指挥、团结一心，就没有任何力量能够阻挡我们前进的脚步。</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rPr>
          <w:rFonts w:hint="eastAsia" w:ascii="仿宋_GB2312" w:hAnsi="仿宋_GB2312" w:eastAsia="仿宋_GB2312" w:cs="仿宋_GB2312"/>
          <w:b w:val="0"/>
          <w:i w:val="0"/>
          <w:caps w:val="0"/>
          <w:color w:val="000000"/>
          <w:spacing w:val="0"/>
          <w:sz w:val="32"/>
          <w:szCs w:val="32"/>
        </w:rPr>
      </w:pPr>
      <w:r>
        <w:rPr>
          <w:rFonts w:hint="eastAsia" w:ascii="仿宋_GB2312" w:hAnsi="仿宋_GB2312" w:eastAsia="仿宋_GB2312" w:cs="仿宋_GB2312"/>
          <w:b w:val="0"/>
          <w:i w:val="0"/>
          <w:caps w:val="0"/>
          <w:color w:val="000000"/>
          <w:spacing w:val="0"/>
          <w:sz w:val="32"/>
          <w:szCs w:val="32"/>
        </w:rPr>
        <w:t>“永远跟党走”，吹响接续奋斗的号角。习近平总书记深刻指出：“赢得人民信任，得到人民支持，党就能够克服任何困难，就能够无往而不胜。”今年是“十四五”开局之年，全面建设社会主义现代化国家新征程已经开启。在这样的时间节点上庆祝党的百岁生日，就是要通过百年的辉煌成就、党群鱼水情深的故事，激发全体人民爱党爱国爱社会主义的热情，进一步凝聚开拓奋进、攻坚克难的力量。各地以此为契机，结合党史学习教育，创新方式方法，多用群众喜欢听、听得进的语言，多建群众爱参与、能参与的平台，组织开展各类特色鲜明的活动，把苦难辉煌的过去、日新月异的现在、光明宏大的未来贯通起来，就能让人们产生情感共鸣，自觉将热情转化为“听党话、跟党走”的实际行动。</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rPr>
          <w:rFonts w:hint="eastAsia" w:ascii="仿宋_GB2312" w:hAnsi="仿宋_GB2312" w:eastAsia="仿宋_GB2312" w:cs="仿宋_GB2312"/>
          <w:b w:val="0"/>
          <w:i w:val="0"/>
          <w:caps w:val="0"/>
          <w:color w:val="000000"/>
          <w:spacing w:val="0"/>
          <w:sz w:val="32"/>
          <w:szCs w:val="32"/>
        </w:rPr>
      </w:pPr>
      <w:r>
        <w:rPr>
          <w:rFonts w:hint="eastAsia" w:ascii="仿宋_GB2312" w:hAnsi="仿宋_GB2312" w:eastAsia="仿宋_GB2312" w:cs="仿宋_GB2312"/>
          <w:b w:val="0"/>
          <w:i w:val="0"/>
          <w:caps w:val="0"/>
          <w:color w:val="000000"/>
          <w:spacing w:val="0"/>
          <w:sz w:val="32"/>
          <w:szCs w:val="32"/>
        </w:rPr>
        <w:t>胸怀千秋伟业，恰是百年风华。讲好百年故事，传承红色基因，我们就一定能为“十四五”开好局、起好步凝心聚力，以昂扬姿态奋进全面建设社会主义现代化国家新征程，不断书写新的历史、创造新的辉煌。</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rPr>
          <w:rFonts w:hint="eastAsia" w:ascii="仿宋_GB2312" w:hAnsi="仿宋_GB2312" w:eastAsia="仿宋_GB2312" w:cs="仿宋_GB2312"/>
          <w:b w:val="0"/>
          <w:i w:val="0"/>
          <w:caps w:val="0"/>
          <w:color w:val="000000"/>
          <w:spacing w:val="0"/>
          <w:sz w:val="32"/>
          <w:szCs w:val="32"/>
        </w:rPr>
      </w:pP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rPr>
          <w:rFonts w:hint="eastAsia" w:ascii="仿宋_GB2312" w:hAnsi="仿宋_GB2312" w:eastAsia="仿宋_GB2312" w:cs="仿宋_GB2312"/>
          <w:b w:val="0"/>
          <w:i w:val="0"/>
          <w:caps w:val="0"/>
          <w:color w:val="000000"/>
          <w:spacing w:val="0"/>
          <w:sz w:val="32"/>
          <w:szCs w:val="32"/>
        </w:rPr>
      </w:pPr>
      <w:r>
        <w:rPr>
          <w:rFonts w:hint="eastAsia" w:ascii="仿宋_GB2312" w:hAnsi="仿宋_GB2312" w:eastAsia="仿宋_GB2312" w:cs="仿宋_GB2312"/>
          <w:b w:val="0"/>
          <w:i w:val="0"/>
          <w:caps w:val="0"/>
          <w:color w:val="000000"/>
          <w:spacing w:val="0"/>
          <w:sz w:val="32"/>
          <w:szCs w:val="32"/>
        </w:rPr>
        <w:t>《 人民日报 》（ 2021年04月26日 05 版）</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rPr>
          <w:rFonts w:hint="eastAsia" w:ascii="仿宋_GB2312" w:hAnsi="仿宋_GB2312" w:eastAsia="仿宋_GB2312" w:cs="仿宋_GB2312"/>
          <w:b w:val="0"/>
          <w:i w:val="0"/>
          <w:caps w:val="0"/>
          <w:color w:val="000000"/>
          <w:spacing w:val="0"/>
          <w:sz w:val="32"/>
          <w:szCs w:val="32"/>
        </w:rPr>
      </w:pP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rPr>
          <w:rFonts w:hint="eastAsia" w:ascii="仿宋_GB2312" w:hAnsi="仿宋_GB2312" w:eastAsia="仿宋_GB2312" w:cs="仿宋_GB2312"/>
          <w:b w:val="0"/>
          <w:i w:val="0"/>
          <w:caps w:val="0"/>
          <w:color w:val="000000"/>
          <w:spacing w:val="0"/>
          <w:sz w:val="32"/>
          <w:szCs w:val="32"/>
        </w:rPr>
      </w:pP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rPr>
          <w:rFonts w:hint="eastAsia" w:ascii="仿宋_GB2312" w:hAnsi="仿宋_GB2312" w:eastAsia="仿宋_GB2312" w:cs="仿宋_GB2312"/>
          <w:b w:val="0"/>
          <w:i w:val="0"/>
          <w:caps w:val="0"/>
          <w:color w:val="000000"/>
          <w:spacing w:val="0"/>
          <w:sz w:val="32"/>
          <w:szCs w:val="32"/>
        </w:rPr>
      </w:pP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rPr>
          <w:rFonts w:hint="eastAsia" w:ascii="仿宋_GB2312" w:hAnsi="仿宋_GB2312" w:eastAsia="仿宋_GB2312" w:cs="仿宋_GB2312"/>
          <w:b w:val="0"/>
          <w:i w:val="0"/>
          <w:caps w:val="0"/>
          <w:color w:val="000000"/>
          <w:spacing w:val="0"/>
          <w:sz w:val="32"/>
          <w:szCs w:val="32"/>
        </w:rPr>
      </w:pP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rPr>
          <w:rFonts w:hint="eastAsia" w:ascii="仿宋_GB2312" w:hAnsi="仿宋_GB2312" w:eastAsia="仿宋_GB2312" w:cs="仿宋_GB2312"/>
          <w:b w:val="0"/>
          <w:i w:val="0"/>
          <w:caps w:val="0"/>
          <w:color w:val="000000"/>
          <w:spacing w:val="0"/>
          <w:sz w:val="32"/>
          <w:szCs w:val="32"/>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700" w:lineRule="exact"/>
        <w:ind w:left="0" w:right="0" w:firstLine="0"/>
        <w:jc w:val="center"/>
        <w:textAlignment w:val="auto"/>
        <w:rPr>
          <w:rFonts w:hint="eastAsia" w:ascii="方正小标宋简体" w:hAnsi="方正小标宋简体" w:eastAsia="方正小标宋简体" w:cs="方正小标宋简体"/>
          <w:b w:val="0"/>
          <w:bCs/>
          <w:i w:val="0"/>
          <w:caps w:val="0"/>
          <w:color w:val="000000"/>
          <w:spacing w:val="0"/>
          <w:sz w:val="52"/>
          <w:szCs w:val="52"/>
        </w:rPr>
      </w:pPr>
      <w:bookmarkStart w:id="4" w:name="_Toc29659"/>
      <w:r>
        <w:rPr>
          <w:rFonts w:hint="eastAsia" w:ascii="方正小标宋简体" w:hAnsi="方正小标宋简体" w:eastAsia="方正小标宋简体" w:cs="方正小标宋简体"/>
          <w:b w:val="0"/>
          <w:bCs/>
          <w:i w:val="0"/>
          <w:caps w:val="0"/>
          <w:color w:val="000000"/>
          <w:spacing w:val="0"/>
          <w:sz w:val="52"/>
          <w:szCs w:val="52"/>
        </w:rPr>
        <w:t>学史崇德，赓续精神葆本色</w:t>
      </w:r>
      <w:bookmarkEnd w:id="4"/>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700" w:lineRule="exact"/>
        <w:ind w:left="0" w:right="0" w:firstLine="0"/>
        <w:jc w:val="center"/>
        <w:textAlignment w:val="auto"/>
        <w:rPr>
          <w:rFonts w:hint="eastAsia" w:ascii="方正小标宋简体" w:hAnsi="方正小标宋简体" w:eastAsia="方正小标宋简体" w:cs="方正小标宋简体"/>
          <w:b w:val="0"/>
          <w:bCs/>
          <w:i w:val="0"/>
          <w:caps w:val="0"/>
          <w:color w:val="000000"/>
          <w:spacing w:val="0"/>
          <w:sz w:val="36"/>
          <w:szCs w:val="36"/>
        </w:rPr>
      </w:pPr>
      <w:bookmarkStart w:id="5" w:name="_Toc17300"/>
      <w:bookmarkStart w:id="6" w:name="_Toc8298"/>
      <w:bookmarkStart w:id="7" w:name="_Toc23743"/>
      <w:bookmarkStart w:id="8" w:name="_Toc9121"/>
      <w:bookmarkStart w:id="9" w:name="_Toc9392"/>
      <w:bookmarkStart w:id="10" w:name="_Toc12205"/>
      <w:r>
        <w:rPr>
          <w:rFonts w:hint="eastAsia" w:ascii="方正小标宋简体" w:hAnsi="方正小标宋简体" w:eastAsia="方正小标宋简体" w:cs="方正小标宋简体"/>
          <w:b w:val="0"/>
          <w:bCs/>
          <w:i w:val="0"/>
          <w:caps w:val="0"/>
          <w:color w:val="000000"/>
          <w:spacing w:val="0"/>
          <w:sz w:val="36"/>
          <w:szCs w:val="36"/>
        </w:rPr>
        <w:t>（评论员观察）</w:t>
      </w:r>
      <w:bookmarkEnd w:id="1"/>
      <w:bookmarkEnd w:id="5"/>
      <w:bookmarkEnd w:id="6"/>
      <w:bookmarkEnd w:id="7"/>
      <w:bookmarkEnd w:id="8"/>
      <w:bookmarkEnd w:id="9"/>
      <w:bookmarkEnd w:id="10"/>
    </w:p>
    <w:p>
      <w:pPr>
        <w:keepNext w:val="0"/>
        <w:keepLines w:val="0"/>
        <w:pageBreakBefore w:val="0"/>
        <w:kinsoku/>
        <w:wordWrap/>
        <w:overflowPunct/>
        <w:topLinePunct w:val="0"/>
        <w:autoSpaceDE/>
        <w:autoSpaceDN/>
        <w:bidi w:val="0"/>
        <w:adjustRightInd/>
        <w:snapToGrid/>
        <w:spacing w:line="700" w:lineRule="exact"/>
        <w:ind w:firstLine="600" w:firstLineChars="200"/>
        <w:jc w:val="right"/>
        <w:textAlignment w:val="auto"/>
        <w:rPr>
          <w:rFonts w:hint="eastAsia" w:ascii="方正小标宋简体" w:hAnsi="方正小标宋简体" w:eastAsia="方正小标宋简体" w:cs="方正小标宋简体"/>
          <w:bCs/>
          <w:color w:val="000000" w:themeColor="text1"/>
          <w:kern w:val="0"/>
          <w:sz w:val="30"/>
          <w:szCs w:val="30"/>
          <w:lang w:eastAsia="ja-JP"/>
          <w14:textFill>
            <w14:solidFill>
              <w14:schemeClr w14:val="tx1"/>
            </w14:solidFill>
          </w14:textFill>
        </w:rPr>
      </w:pPr>
      <w:r>
        <w:rPr>
          <w:rFonts w:hint="eastAsia" w:ascii="方正小标宋简体" w:hAnsi="方正小标宋简体" w:eastAsia="方正小标宋简体" w:cs="方正小标宋简体"/>
          <w:bCs/>
          <w:color w:val="000000" w:themeColor="text1"/>
          <w:kern w:val="0"/>
          <w:sz w:val="30"/>
          <w:szCs w:val="30"/>
          <w:lang w:eastAsia="ja-JP"/>
          <w14:textFill>
            <w14:solidFill>
              <w14:schemeClr w14:val="tx1"/>
            </w14:solidFill>
          </w14:textFill>
        </w:rPr>
        <w:t>——从党史中汲取前进的智慧和力量③</w:t>
      </w:r>
    </w:p>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700" w:lineRule="exact"/>
        <w:ind w:left="0" w:right="0" w:firstLine="0"/>
        <w:jc w:val="center"/>
        <w:textAlignment w:val="auto"/>
        <w:rPr>
          <w:rFonts w:hint="eastAsia" w:ascii="微软雅黑" w:hAnsi="微软雅黑" w:eastAsia="微软雅黑" w:cs="微软雅黑"/>
          <w:i w:val="0"/>
          <w:caps w:val="0"/>
          <w:color w:val="666666"/>
          <w:spacing w:val="0"/>
          <w:sz w:val="24"/>
          <w:szCs w:val="24"/>
        </w:rPr>
      </w:pPr>
      <w:r>
        <w:rPr>
          <w:rFonts w:hint="eastAsia" w:ascii="楷体_GB2312" w:hAnsi="楷体_GB2312" w:eastAsia="楷体_GB2312" w:cs="楷体_GB2312"/>
          <w:i w:val="0"/>
          <w:caps w:val="0"/>
          <w:color w:val="auto"/>
          <w:spacing w:val="0"/>
          <w:kern w:val="0"/>
          <w:sz w:val="28"/>
          <w:szCs w:val="28"/>
          <w:lang w:val="en-US" w:eastAsia="zh-CN" w:bidi="ar"/>
        </w:rPr>
        <w:t>2021年03月18日    来源：</w:t>
      </w:r>
      <w:r>
        <w:rPr>
          <w:rFonts w:hint="eastAsia" w:ascii="楷体_GB2312" w:hAnsi="楷体_GB2312" w:eastAsia="楷体_GB2312" w:cs="楷体_GB2312"/>
          <w:i w:val="0"/>
          <w:caps w:val="0"/>
          <w:color w:val="auto"/>
          <w:spacing w:val="0"/>
          <w:kern w:val="0"/>
          <w:sz w:val="28"/>
          <w:szCs w:val="28"/>
          <w:u w:val="none"/>
          <w:lang w:val="en-US" w:eastAsia="zh-CN" w:bidi="ar"/>
        </w:rPr>
        <w:fldChar w:fldCharType="begin"/>
      </w:r>
      <w:r>
        <w:rPr>
          <w:rFonts w:hint="eastAsia" w:ascii="楷体_GB2312" w:hAnsi="楷体_GB2312" w:eastAsia="楷体_GB2312" w:cs="楷体_GB2312"/>
          <w:i w:val="0"/>
          <w:caps w:val="0"/>
          <w:color w:val="auto"/>
          <w:spacing w:val="0"/>
          <w:kern w:val="0"/>
          <w:sz w:val="28"/>
          <w:szCs w:val="28"/>
          <w:u w:val="none"/>
          <w:lang w:val="en-US" w:eastAsia="zh-CN" w:bidi="ar"/>
        </w:rPr>
        <w:instrText xml:space="preserve"> HYPERLINK "http://paper.people.com.cn/rmrb/html/2021-03/18/nw.D110000renmrb_20210318_1-07.htm" \t "http://dangjian.people.com.cn/n1/2021/0318/_blank" </w:instrText>
      </w:r>
      <w:r>
        <w:rPr>
          <w:rFonts w:hint="eastAsia" w:ascii="楷体_GB2312" w:hAnsi="楷体_GB2312" w:eastAsia="楷体_GB2312" w:cs="楷体_GB2312"/>
          <w:i w:val="0"/>
          <w:caps w:val="0"/>
          <w:color w:val="auto"/>
          <w:spacing w:val="0"/>
          <w:kern w:val="0"/>
          <w:sz w:val="28"/>
          <w:szCs w:val="28"/>
          <w:u w:val="none"/>
          <w:lang w:val="en-US" w:eastAsia="zh-CN" w:bidi="ar"/>
        </w:rPr>
        <w:fldChar w:fldCharType="separate"/>
      </w:r>
      <w:r>
        <w:rPr>
          <w:rStyle w:val="16"/>
          <w:rFonts w:hint="eastAsia" w:ascii="楷体_GB2312" w:hAnsi="楷体_GB2312" w:eastAsia="楷体_GB2312" w:cs="楷体_GB2312"/>
          <w:i w:val="0"/>
          <w:caps w:val="0"/>
          <w:color w:val="auto"/>
          <w:spacing w:val="0"/>
          <w:sz w:val="28"/>
          <w:szCs w:val="28"/>
          <w:u w:val="none"/>
        </w:rPr>
        <w:t>人民网－人民日报</w:t>
      </w:r>
      <w:r>
        <w:rPr>
          <w:rFonts w:hint="eastAsia" w:ascii="楷体_GB2312" w:hAnsi="楷体_GB2312" w:eastAsia="楷体_GB2312" w:cs="楷体_GB2312"/>
          <w:i w:val="0"/>
          <w:caps w:val="0"/>
          <w:color w:val="auto"/>
          <w:spacing w:val="0"/>
          <w:kern w:val="0"/>
          <w:sz w:val="28"/>
          <w:szCs w:val="28"/>
          <w:u w:val="none"/>
          <w:lang w:val="en-US" w:eastAsia="zh-CN" w:bidi="ar"/>
        </w:rPr>
        <w:fldChar w:fldCharType="end"/>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caps w:val="0"/>
          <w:color w:val="000000"/>
          <w:spacing w:val="0"/>
          <w:sz w:val="32"/>
          <w:szCs w:val="32"/>
        </w:rPr>
        <w:t>从红色精神谱系中立心铸魂，从英雄人物和时代楷模身上体悟道德风范，就要明大德、守公德、严私德</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caps w:val="0"/>
          <w:color w:val="000000"/>
          <w:spacing w:val="0"/>
          <w:sz w:val="32"/>
          <w:szCs w:val="32"/>
        </w:rPr>
        <w:t>我们之所以要通过党内集中教育不断进行精神历练，就是要将学习和实践结合、让历史和现实贯通</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身处世界百年未有之大变局，立足百年大党新起点，让精神谱系的传家宝永放光芒</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caps w:val="0"/>
          <w:color w:val="000000"/>
          <w:spacing w:val="0"/>
          <w:sz w:val="32"/>
          <w:szCs w:val="32"/>
        </w:rPr>
        <w:t>“只要精神不滑坡，办法总比困难多”，黑龙江省大庆市铁人广场边彩虹桥上镶嵌的大字，激励着大庆人不断砥砺奋进。从“宁肯少活20年，拼命也要拿下大油田”的王进喜，到“宁肯把心血熬干，也要让油田稳产再高产”的王启民，再到“国内打井创纪录，勇闯海外立标杆”的李新民，历久弥新的大庆精神在新中国工业史上镌刻下了光辉的一页。</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caps w:val="0"/>
          <w:color w:val="000000"/>
          <w:spacing w:val="0"/>
          <w:sz w:val="32"/>
          <w:szCs w:val="32"/>
        </w:rPr>
        <w:t>习近平总书记在党史学习教育动员大会上指出：“在一百年的非凡奋斗历程中，一代又一代中国共产党人顽强拼搏、不懈奋斗，涌现了一大批视死如归的革命烈士、一大批顽强奋斗的英雄人物、一大批忘我奉献的先进模范，形成了一系列伟大精神，构筑起了中国共产党人的精神谱系，为我们立党兴党强党提供了丰厚滋养。”夏明翰、方志敏等战火纷飞中挺立的英雄，焦裕禄、时传祥等建设年代里成长的模范，李保国、钟南山等改革时代涌现的典型……一座座时代丰碑为共产党人绘就信仰底色、构筑精神高地。从红船精神到长征精神，从“两弹一星”精神到探月精神……一系列伟大精神化作红色灯塔，点亮历史的浩瀚星空，照亮我们的远大征途。</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caps w:val="0"/>
          <w:color w:val="000000"/>
          <w:spacing w:val="0"/>
          <w:sz w:val="32"/>
          <w:szCs w:val="32"/>
        </w:rPr>
        <w:t>长征途中，红军将士血战湘江，四渡赤水，巧渡金沙江，强渡大渡河，展现出对远大理想和革命信念的坚定执着；面对核垄断，“两弹一星”科学家数十年如一日以帐篷为家、与黄沙为伴，为的是让中国成为“有重要影响的大国”；脱贫攻坚，千千万万基层干部把心血洒在田间地头，“一心只为老百姓过上好日子”……开展党史学习教育，一项重要任务就是学史崇德，大力发扬红色传统、传承红色基因，赓续共产党人精神血脉，始终保持革命者的大无畏奋斗精神，鼓起迈进新征程、奋进新时代的精气神。</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caps w:val="0"/>
          <w:color w:val="000000"/>
          <w:spacing w:val="0"/>
          <w:sz w:val="32"/>
          <w:szCs w:val="32"/>
        </w:rPr>
        <w:t>从红色精神谱系中立心铸魂，从英雄人物和时代楷模身上体悟道德风范，就要明大德、守公德、严私德。作为党员，尤其需要将提高政治品德与精神境界放在自身建设的重要位置。明大德，就要像生死考验中立场坚定的革命先驱那样，认清大是大非、锤炼坚定党性；守公德，就要像孜孜不倦为民解难的优秀干部那样，以人民为中心、以天下为己任；严私德，就要像物质诱惑前严于律己的先锋模范那样，厚植良好家风、公事不掺私情。</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caps w:val="0"/>
          <w:color w:val="000000"/>
          <w:spacing w:val="0"/>
          <w:sz w:val="32"/>
          <w:szCs w:val="32"/>
        </w:rPr>
        <w:t>学史崇德，还要知行互促，在实践中擦亮精神底色。我们之所以要通过党内集中教育不断进行精神历练，就是要将学习和实践结合、让历史和现实贯通。道不可坐论，德不能空谈。经过长征锤炼的同志之所以“一个可以当十个，十个可以当百个”，正是因为在千难万险中跋涉，在枪林弹雨中战斗。在河南新县，英雄山上一座“红旗飘飘”的主题雕塑巍然屹立，象征着红色精神永世流传。奋进新征程，展现新作为，我们必须将党史的滋养转化为不变的政治本色、奋斗的行动自觉。</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caps w:val="0"/>
          <w:color w:val="000000"/>
          <w:spacing w:val="0"/>
          <w:sz w:val="32"/>
          <w:szCs w:val="32"/>
        </w:rPr>
        <w:t>心中有信仰，脚下有力量。正如西柏坡精神鼓舞党员继续“赶考”，雷锋精神感召后人“做永不生锈的螺丝钉”，革命精神是与时俱进的标杆。今天，身处世界百年未有之大变局，立足百年大党新起点，让精神谱系的传家宝永放光芒，走过万水千山的中国共产党人，必能在新的跋山涉水中创造新的更大辉煌。</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42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caps w:val="0"/>
          <w:color w:val="000000"/>
          <w:spacing w:val="0"/>
          <w:sz w:val="32"/>
          <w:szCs w:val="32"/>
        </w:rPr>
        <w:t>《 人民日报 》（ 2021年03月18日 07 版）</w:t>
      </w:r>
    </w:p>
    <w:p>
      <w:pPr>
        <w:keepNext w:val="0"/>
        <w:keepLines w:val="0"/>
        <w:pageBreakBefore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p>
    <w:p>
      <w:pPr>
        <w:keepNext w:val="0"/>
        <w:keepLines w:val="0"/>
        <w:pageBreakBefore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p>
    <w:p>
      <w:pPr>
        <w:keepNext w:val="0"/>
        <w:keepLines w:val="0"/>
        <w:pageBreakBefore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p>
    <w:p>
      <w:pPr>
        <w:keepNext w:val="0"/>
        <w:keepLines w:val="0"/>
        <w:pageBreakBefore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p>
    <w:p>
      <w:pPr>
        <w:pStyle w:val="12"/>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b w:val="0"/>
          <w:sz w:val="48"/>
          <w:szCs w:val="48"/>
        </w:rPr>
      </w:pPr>
      <w:bookmarkStart w:id="11" w:name="_Toc7367"/>
      <w:bookmarkStart w:id="12" w:name="_Toc20185"/>
      <w:r>
        <w:rPr>
          <w:rFonts w:hint="eastAsia" w:ascii="方正小标宋简体" w:hAnsi="方正小标宋简体" w:eastAsia="方正小标宋简体" w:cs="方正小标宋简体"/>
          <w:b w:val="0"/>
          <w:sz w:val="48"/>
          <w:szCs w:val="48"/>
        </w:rPr>
        <w:t>学史力行，为人民办实事谋福祉</w:t>
      </w:r>
      <w:bookmarkEnd w:id="11"/>
    </w:p>
    <w:p>
      <w:pPr>
        <w:pStyle w:val="12"/>
        <w:keepNext w:val="0"/>
        <w:keepLines w:val="0"/>
        <w:pageBreakBefore w:val="0"/>
        <w:widowControl w:val="0"/>
        <w:kinsoku/>
        <w:wordWrap/>
        <w:overflowPunct/>
        <w:topLinePunct w:val="0"/>
        <w:autoSpaceDE/>
        <w:autoSpaceDN/>
        <w:bidi w:val="0"/>
        <w:adjustRightInd/>
        <w:snapToGrid/>
        <w:spacing w:line="700" w:lineRule="exact"/>
        <w:textAlignment w:val="auto"/>
        <w:rPr>
          <w:rFonts w:hint="eastAsia" w:ascii="方正小标宋简体" w:hAnsi="方正小标宋简体" w:eastAsia="方正小标宋简体" w:cs="方正小标宋简体"/>
          <w:b w:val="0"/>
          <w:sz w:val="48"/>
          <w:szCs w:val="48"/>
        </w:rPr>
      </w:pPr>
      <w:bookmarkStart w:id="13" w:name="_Toc28501"/>
      <w:bookmarkStart w:id="14" w:name="_Toc25193"/>
      <w:bookmarkStart w:id="15" w:name="_Toc6635"/>
      <w:bookmarkStart w:id="16" w:name="_Toc19830"/>
      <w:bookmarkStart w:id="17" w:name="_Toc25656"/>
      <w:bookmarkStart w:id="18" w:name="_Toc32656"/>
      <w:bookmarkStart w:id="19" w:name="_Toc9213"/>
      <w:r>
        <w:rPr>
          <w:rFonts w:hint="eastAsia" w:ascii="方正小标宋简体" w:hAnsi="方正小标宋简体" w:eastAsia="方正小标宋简体" w:cs="方正小标宋简体"/>
          <w:b w:val="0"/>
          <w:sz w:val="40"/>
          <w:szCs w:val="40"/>
        </w:rPr>
        <w:t>（评论员观察）</w:t>
      </w:r>
      <w:bookmarkEnd w:id="12"/>
      <w:bookmarkEnd w:id="13"/>
      <w:bookmarkEnd w:id="14"/>
      <w:bookmarkEnd w:id="15"/>
      <w:bookmarkEnd w:id="16"/>
      <w:bookmarkEnd w:id="17"/>
      <w:bookmarkEnd w:id="18"/>
      <w:bookmarkEnd w:id="19"/>
    </w:p>
    <w:p>
      <w:pPr>
        <w:keepNext w:val="0"/>
        <w:keepLines w:val="0"/>
        <w:pageBreakBefore w:val="0"/>
        <w:widowControl w:val="0"/>
        <w:kinsoku/>
        <w:wordWrap/>
        <w:overflowPunct/>
        <w:topLinePunct w:val="0"/>
        <w:autoSpaceDE/>
        <w:autoSpaceDN/>
        <w:bidi w:val="0"/>
        <w:adjustRightInd/>
        <w:snapToGrid/>
        <w:spacing w:line="700" w:lineRule="exact"/>
        <w:ind w:firstLine="600" w:firstLineChars="200"/>
        <w:jc w:val="right"/>
        <w:textAlignment w:val="auto"/>
        <w:rPr>
          <w:rFonts w:hint="eastAsia" w:ascii="方正小标宋简体" w:hAnsi="方正小标宋简体" w:eastAsia="方正小标宋简体" w:cs="方正小标宋简体"/>
          <w:bCs/>
          <w:color w:val="000000" w:themeColor="text1"/>
          <w:kern w:val="0"/>
          <w:sz w:val="30"/>
          <w:szCs w:val="30"/>
          <w:lang w:eastAsia="ja-JP"/>
          <w14:textFill>
            <w14:solidFill>
              <w14:schemeClr w14:val="tx1"/>
            </w14:solidFill>
          </w14:textFill>
        </w:rPr>
      </w:pPr>
      <w:r>
        <w:rPr>
          <w:rFonts w:hint="eastAsia" w:ascii="方正小标宋简体" w:hAnsi="方正小标宋简体" w:eastAsia="方正小标宋简体" w:cs="方正小标宋简体"/>
          <w:bCs/>
          <w:color w:val="000000" w:themeColor="text1"/>
          <w:kern w:val="0"/>
          <w:sz w:val="30"/>
          <w:szCs w:val="30"/>
          <w:lang w:eastAsia="ja-JP"/>
          <w14:textFill>
            <w14:solidFill>
              <w14:schemeClr w14:val="tx1"/>
            </w14:solidFill>
          </w14:textFill>
        </w:rPr>
        <w:t>——从党史中汲取前进的智慧和力量④</w:t>
      </w:r>
    </w:p>
    <w:p>
      <w:pPr>
        <w:keepNext w:val="0"/>
        <w:keepLines w:val="0"/>
        <w:pageBreakBefore w:val="0"/>
        <w:widowControl w:val="0"/>
        <w:kinsoku/>
        <w:wordWrap/>
        <w:overflowPunct/>
        <w:topLinePunct w:val="0"/>
        <w:autoSpaceDE/>
        <w:autoSpaceDN/>
        <w:bidi w:val="0"/>
        <w:adjustRightInd/>
        <w:snapToGrid/>
        <w:spacing w:line="700" w:lineRule="exact"/>
        <w:ind w:firstLine="640" w:firstLineChars="200"/>
        <w:jc w:val="center"/>
        <w:textAlignment w:val="auto"/>
        <w:rPr>
          <w:rFonts w:hint="eastAsia" w:ascii="楷体_GB2312" w:hAnsi="楷体_GB2312" w:eastAsia="楷体_GB2312" w:cs="楷体_GB2312"/>
          <w:color w:val="000000"/>
          <w:sz w:val="32"/>
          <w:szCs w:val="32"/>
          <w:shd w:val="clear" w:color="auto" w:fill="FFFFFF"/>
        </w:rPr>
      </w:pPr>
      <w:r>
        <w:rPr>
          <w:rFonts w:hint="eastAsia" w:ascii="楷体_GB2312" w:hAnsi="楷体_GB2312" w:eastAsia="楷体_GB2312" w:cs="楷体_GB2312"/>
          <w:color w:val="000000"/>
          <w:sz w:val="32"/>
          <w:szCs w:val="32"/>
          <w:shd w:val="clear" w:color="auto" w:fill="FFFFFF"/>
          <w:lang w:val="en-US" w:eastAsia="zh-CN"/>
        </w:rPr>
        <w:t>2021年03月19日    来源：</w:t>
      </w:r>
      <w:r>
        <w:rPr>
          <w:rFonts w:hint="eastAsia" w:ascii="楷体_GB2312" w:hAnsi="楷体_GB2312" w:eastAsia="楷体_GB2312" w:cs="楷体_GB2312"/>
          <w:color w:val="000000"/>
          <w:sz w:val="32"/>
          <w:szCs w:val="32"/>
          <w:shd w:val="clear" w:color="auto" w:fill="FFFFFF"/>
          <w:lang w:val="en-US" w:eastAsia="zh-CN"/>
        </w:rPr>
        <w:fldChar w:fldCharType="begin"/>
      </w:r>
      <w:r>
        <w:rPr>
          <w:rFonts w:hint="eastAsia" w:ascii="楷体_GB2312" w:hAnsi="楷体_GB2312" w:eastAsia="楷体_GB2312" w:cs="楷体_GB2312"/>
          <w:color w:val="000000"/>
          <w:sz w:val="32"/>
          <w:szCs w:val="32"/>
          <w:shd w:val="clear" w:color="auto" w:fill="FFFFFF"/>
          <w:lang w:val="en-US" w:eastAsia="zh-CN"/>
        </w:rPr>
        <w:instrText xml:space="preserve"> HYPERLINK "http://paper.people.com.cn/rmrb/html/2021-03/19/nw.D110000renmrb_20210319_1-07.htm" \t "http://dangjian.people.com.cn/n1/2021/0319/_blank" </w:instrText>
      </w:r>
      <w:r>
        <w:rPr>
          <w:rFonts w:hint="eastAsia" w:ascii="楷体_GB2312" w:hAnsi="楷体_GB2312" w:eastAsia="楷体_GB2312" w:cs="楷体_GB2312"/>
          <w:color w:val="000000"/>
          <w:sz w:val="32"/>
          <w:szCs w:val="32"/>
          <w:shd w:val="clear" w:color="auto" w:fill="FFFFFF"/>
          <w:lang w:val="en-US" w:eastAsia="zh-CN"/>
        </w:rPr>
        <w:fldChar w:fldCharType="separate"/>
      </w:r>
      <w:r>
        <w:rPr>
          <w:rFonts w:hint="eastAsia" w:ascii="楷体_GB2312" w:hAnsi="楷体_GB2312" w:eastAsia="楷体_GB2312" w:cs="楷体_GB2312"/>
          <w:color w:val="000000"/>
          <w:sz w:val="32"/>
          <w:szCs w:val="32"/>
          <w:shd w:val="clear" w:color="auto" w:fill="FFFFFF"/>
        </w:rPr>
        <w:t>人民网－人民日报</w:t>
      </w:r>
      <w:r>
        <w:rPr>
          <w:rFonts w:hint="eastAsia" w:ascii="楷体_GB2312" w:hAnsi="楷体_GB2312" w:eastAsia="楷体_GB2312" w:cs="楷体_GB2312"/>
          <w:color w:val="000000"/>
          <w:sz w:val="32"/>
          <w:szCs w:val="32"/>
          <w:shd w:val="clear" w:color="auto" w:fill="FFFFFF"/>
          <w:lang w:val="en-US" w:eastAsia="zh-CN"/>
        </w:rPr>
        <w:fldChar w:fldCharType="end"/>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caps w:val="0"/>
          <w:color w:val="000000"/>
          <w:spacing w:val="0"/>
          <w:sz w:val="32"/>
          <w:szCs w:val="32"/>
        </w:rPr>
        <w:t>回望一段段可歌可泣的奋斗岁月，能真切感受到共产党人感天动地、无穷无尽的信仰力量</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caps w:val="0"/>
          <w:color w:val="000000"/>
          <w:spacing w:val="0"/>
          <w:sz w:val="32"/>
          <w:szCs w:val="32"/>
        </w:rPr>
        <w:t>有没有提高为人民群众办实事、谋福祉的本领，有没有提高治国理政、破解难题的能力水平，检验着党史学习教育的成效</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caps w:val="0"/>
          <w:color w:val="000000"/>
          <w:spacing w:val="0"/>
          <w:sz w:val="32"/>
          <w:szCs w:val="32"/>
        </w:rPr>
        <w:t>平凡人，普通事，一旦以纯洁信仰、高尚追求为精神底色，就有了非凡的意义。有这样一位革命战士：他是经历过长征的老红军，说少干多，淳朴憨厚，从不推诿开荒、烧炭这样的苦活脏活累活，处处起到模范带头作用。当他工作中因为炭窑崩塌而牺牲，毛泽东同志专门在他的追悼会上发表《为人民服务》的演讲。这个人就是张思德，他用崇高品行诠释了什么是“彻底地为人民的利益工作”。</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caps w:val="0"/>
          <w:color w:val="000000"/>
          <w:spacing w:val="0"/>
          <w:sz w:val="32"/>
          <w:szCs w:val="32"/>
        </w:rPr>
        <w:t>习近平总书记在党史学习教育动员大会上指出：“我们党的百年历史，就是一部践行党的初心使命的历史，就是一部党与人民心连心、同呼吸、共命运的历史。”从革命年代“甘将热血沃中华”到建设时期“地动三河铁臂摇”，从改革开放新时期“横下一条心勇敢向前走”到新时代“坚持以人民为中心”，无数党员干部冲锋在前、担当在前、奉献在前、牺牲在前，只为让中国有一个“可赞美的光明前途”。回望一段段可歌可泣的奋斗岁月，能真切感受到共产党人感天动地、无穷无尽的信仰力量。通过党史学习教育，深刻认识党的性质宗旨，增进同人民群众的感情，才能更好地为人民办实事、谋福祉、解难题。</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caps w:val="0"/>
          <w:color w:val="000000"/>
          <w:spacing w:val="0"/>
          <w:sz w:val="32"/>
          <w:szCs w:val="32"/>
        </w:rPr>
        <w:t>为民造福从来都不是一句空话。浙江在新中国成立前是缺粮省，新中国成立后周恩来同志特别重视浙江的农业生产，一次他陪外宾到杭州，听群众说粮食不够吃，后来又专门到萧山调研，逢人就问口粮和饲料够不够。周恩来同志回北京后，具体算账研究，专门指示省里上调粮食时可以少调两亿斤。办法总比困难多，关键就在于有没有一颗实实在在的为民之心。从抗击新冠肺炎疫情斗争取得重大战略成果到脱贫攻坚战取得全面胜利，坚守人民立场汇聚起攻坚克难的强大力量。</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质胜于华，行胜于言，一个行动胜过一打纲领。习近平总书记强调：“要把学习党史同总结经验、观照现实、推动工作结合起来，同解决实际问题结合起来”。学习的目的在于运用，有没有提高为人民群众办实事、谋福祉的本领，有没有提高治国理政、破解难题的能力水平，检验着党史学习教育的成效。党史学习教育与实际工作不能“两张皮”，不能学一套、做一套，不能夸夸其谈、陷于“客里空”。我们要善于发扬理论联系实际的马克思主义学风，带着问题学，在干中学，学以致用、学用相长，既把学习成效转化为工作动力和成效，又用工作成效检验学习成效。</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caps w:val="0"/>
          <w:color w:val="000000"/>
          <w:spacing w:val="0"/>
          <w:sz w:val="32"/>
          <w:szCs w:val="32"/>
        </w:rPr>
        <w:t>“使更多人民群众享有更高品质的城市生活”“让农民更多分享产业增值收益”“加强普惠性、基础性、兜底性民生建设”“为人民提供全方位全生命期健康服务”……近日，国民经济和社会发展第十四个五年规划和2035年远景目标纲要发布，让人们再一次感受到人民至上的价值追求。蓝图绘就，部署落定，正需要埋头苦干、狠抓落实。抖擞精神再出发，正需要我们唤起践行初心使命的自觉，增进攻坚克难的勇气信心，为不断实现人民对美好生活的向往实干笃行。</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caps w:val="0"/>
          <w:color w:val="000000"/>
          <w:spacing w:val="0"/>
          <w:sz w:val="32"/>
          <w:szCs w:val="32"/>
        </w:rPr>
        <w:t>“中国共产党并不曾使用什么魔术，他们只不过知道人民所渴望的改变，而他们拥护这些改变。”记录中国抗战的著作《中国的惊雷》，道出了我们党与人民心心相印、同甘共苦、艰苦奋斗的“秘诀”。学党史、悟思想、办实事、开新局，我们就一定能以昂扬姿态奋进全面建设社会主义现代化国家新征程，以优异成绩庆祝建党一百周年。</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42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caps w:val="0"/>
          <w:color w:val="000000"/>
          <w:spacing w:val="0"/>
          <w:sz w:val="32"/>
          <w:szCs w:val="32"/>
        </w:rPr>
        <w:t>《 人民日报 》（ 2021年03月19日 07 版）</w:t>
      </w:r>
    </w:p>
    <w:p>
      <w:pPr>
        <w:keepNext w:val="0"/>
        <w:keepLines w:val="0"/>
        <w:pageBreakBefore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p>
    <w:p>
      <w:pPr>
        <w:keepNext w:val="0"/>
        <w:keepLines w:val="0"/>
        <w:pageBreakBefore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p>
    <w:p>
      <w:pPr>
        <w:keepNext w:val="0"/>
        <w:keepLines w:val="0"/>
        <w:pageBreakBefore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p>
    <w:p>
      <w:pPr>
        <w:keepNext w:val="0"/>
        <w:keepLines w:val="0"/>
        <w:pageBreakBefore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p>
    <w:p>
      <w:pPr>
        <w:keepNext w:val="0"/>
        <w:keepLines w:val="0"/>
        <w:pageBreakBefore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p>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700" w:lineRule="exact"/>
        <w:ind w:left="0" w:right="0" w:firstLine="0"/>
        <w:jc w:val="center"/>
        <w:textAlignment w:val="auto"/>
        <w:outlineLvl w:val="0"/>
        <w:rPr>
          <w:rFonts w:hint="eastAsia" w:ascii="方正小标宋简体" w:hAnsi="方正小标宋简体" w:eastAsia="方正小标宋简体" w:cs="方正小标宋简体"/>
          <w:b w:val="0"/>
          <w:bCs/>
          <w:i w:val="0"/>
          <w:caps w:val="0"/>
          <w:color w:val="000000"/>
          <w:spacing w:val="0"/>
          <w:sz w:val="44"/>
          <w:szCs w:val="44"/>
          <w:shd w:val="clear" w:fill="FFFFFF"/>
        </w:rPr>
      </w:pPr>
      <w:bookmarkStart w:id="20" w:name="_Toc21051"/>
      <w:bookmarkStart w:id="21" w:name="_Toc23261"/>
      <w:bookmarkStart w:id="22" w:name="_Toc21170"/>
      <w:bookmarkStart w:id="23" w:name="_Toc29259"/>
      <w:bookmarkStart w:id="24" w:name="_Toc5442"/>
      <w:r>
        <w:rPr>
          <w:rFonts w:hint="eastAsia" w:ascii="方正小标宋简体" w:hAnsi="方正小标宋简体" w:eastAsia="方正小标宋简体" w:cs="方正小标宋简体"/>
          <w:b w:val="0"/>
          <w:bCs/>
          <w:i w:val="0"/>
          <w:caps w:val="0"/>
          <w:color w:val="000000"/>
          <w:spacing w:val="0"/>
          <w:sz w:val="44"/>
          <w:szCs w:val="44"/>
          <w:shd w:val="clear" w:fill="FFFFFF"/>
        </w:rPr>
        <w:t>习近平在党史学习教育动员大会上强调 </w:t>
      </w:r>
      <w:bookmarkEnd w:id="20"/>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700" w:lineRule="exact"/>
        <w:ind w:left="0" w:right="0" w:firstLine="0"/>
        <w:jc w:val="center"/>
        <w:textAlignment w:val="auto"/>
        <w:outlineLvl w:val="0"/>
        <w:rPr>
          <w:rFonts w:hint="eastAsia" w:ascii="方正小标宋简体" w:hAnsi="方正小标宋简体" w:eastAsia="方正小标宋简体" w:cs="方正小标宋简体"/>
          <w:b w:val="0"/>
          <w:bCs/>
          <w:i w:val="0"/>
          <w:caps w:val="0"/>
          <w:color w:val="000000"/>
          <w:spacing w:val="0"/>
          <w:sz w:val="44"/>
          <w:szCs w:val="44"/>
          <w:shd w:val="clear" w:fill="FFFFFF"/>
        </w:rPr>
      </w:pPr>
      <w:bookmarkStart w:id="25" w:name="_Toc18739"/>
      <w:bookmarkStart w:id="26" w:name="_Toc23078"/>
      <w:bookmarkStart w:id="27" w:name="_Toc6700"/>
      <w:bookmarkStart w:id="28" w:name="_Toc18658"/>
      <w:bookmarkStart w:id="29" w:name="_Toc11663"/>
      <w:r>
        <w:rPr>
          <w:rFonts w:hint="eastAsia" w:ascii="方正小标宋简体" w:hAnsi="方正小标宋简体" w:eastAsia="方正小标宋简体" w:cs="方正小标宋简体"/>
          <w:b w:val="0"/>
          <w:bCs/>
          <w:i w:val="0"/>
          <w:caps w:val="0"/>
          <w:color w:val="000000"/>
          <w:spacing w:val="0"/>
          <w:sz w:val="44"/>
          <w:szCs w:val="44"/>
          <w:shd w:val="clear" w:fill="FFFFFF"/>
        </w:rPr>
        <w:t>学党史悟思想办实事开新局 以优异成绩</w:t>
      </w:r>
      <w:bookmarkEnd w:id="25"/>
      <w:bookmarkEnd w:id="26"/>
      <w:bookmarkEnd w:id="27"/>
      <w:bookmarkEnd w:id="28"/>
      <w:bookmarkEnd w:id="29"/>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700" w:lineRule="exact"/>
        <w:ind w:left="0" w:right="0" w:firstLine="0"/>
        <w:jc w:val="center"/>
        <w:textAlignment w:val="auto"/>
        <w:outlineLvl w:val="0"/>
        <w:rPr>
          <w:rFonts w:hint="eastAsia" w:ascii="方正小标宋简体" w:hAnsi="方正小标宋简体" w:eastAsia="方正小标宋简体" w:cs="方正小标宋简体"/>
          <w:b w:val="0"/>
          <w:bCs/>
          <w:i w:val="0"/>
          <w:caps w:val="0"/>
          <w:color w:val="000000"/>
          <w:spacing w:val="0"/>
          <w:sz w:val="44"/>
          <w:szCs w:val="44"/>
        </w:rPr>
      </w:pPr>
      <w:bookmarkStart w:id="30" w:name="_Toc22725"/>
      <w:bookmarkStart w:id="31" w:name="_Toc20649"/>
      <w:bookmarkStart w:id="32" w:name="_Toc29771"/>
      <w:bookmarkStart w:id="33" w:name="_Toc18046"/>
      <w:bookmarkStart w:id="34" w:name="_Toc5208"/>
      <w:r>
        <w:rPr>
          <w:rFonts w:hint="eastAsia" w:ascii="方正小标宋简体" w:hAnsi="方正小标宋简体" w:eastAsia="方正小标宋简体" w:cs="方正小标宋简体"/>
          <w:b w:val="0"/>
          <w:bCs/>
          <w:i w:val="0"/>
          <w:caps w:val="0"/>
          <w:color w:val="000000"/>
          <w:spacing w:val="0"/>
          <w:sz w:val="44"/>
          <w:szCs w:val="44"/>
          <w:shd w:val="clear" w:fill="FFFFFF"/>
        </w:rPr>
        <w:t>迎接建党一百周年</w:t>
      </w:r>
      <w:bookmarkEnd w:id="21"/>
      <w:bookmarkEnd w:id="22"/>
      <w:bookmarkEnd w:id="23"/>
      <w:bookmarkEnd w:id="24"/>
      <w:bookmarkEnd w:id="30"/>
      <w:bookmarkEnd w:id="31"/>
      <w:bookmarkEnd w:id="32"/>
      <w:bookmarkEnd w:id="33"/>
      <w:bookmarkEnd w:id="34"/>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700" w:lineRule="exact"/>
        <w:ind w:left="0" w:right="0" w:firstLine="0"/>
        <w:jc w:val="center"/>
        <w:textAlignment w:val="auto"/>
        <w:rPr>
          <w:rFonts w:hint="eastAsia" w:ascii="方正小标宋简体" w:hAnsi="方正小标宋简体" w:eastAsia="方正小标宋简体" w:cs="方正小标宋简体"/>
          <w:b w:val="0"/>
          <w:bCs/>
          <w:i w:val="0"/>
          <w:caps w:val="0"/>
          <w:color w:val="000000"/>
          <w:spacing w:val="0"/>
          <w:sz w:val="24"/>
          <w:szCs w:val="24"/>
        </w:rPr>
      </w:pPr>
      <w:bookmarkStart w:id="35" w:name="_Toc21669"/>
      <w:bookmarkStart w:id="36" w:name="_Toc17802"/>
      <w:bookmarkStart w:id="37" w:name="_Toc24569"/>
      <w:bookmarkStart w:id="38" w:name="_Toc31383"/>
      <w:bookmarkStart w:id="39" w:name="_Toc24654"/>
      <w:bookmarkStart w:id="40" w:name="_Toc13532"/>
      <w:r>
        <w:rPr>
          <w:rFonts w:hint="eastAsia" w:ascii="方正小标宋简体" w:hAnsi="方正小标宋简体" w:eastAsia="方正小标宋简体" w:cs="方正小标宋简体"/>
          <w:b w:val="0"/>
          <w:bCs/>
          <w:i w:val="0"/>
          <w:caps w:val="0"/>
          <w:color w:val="000000"/>
          <w:spacing w:val="0"/>
          <w:sz w:val="24"/>
          <w:szCs w:val="24"/>
          <w:shd w:val="clear" w:fill="FFFFFF"/>
        </w:rPr>
        <w:t>李克强</w:t>
      </w:r>
      <w:r>
        <w:rPr>
          <w:rFonts w:hint="eastAsia" w:ascii="方正小标宋简体" w:hAnsi="方正小标宋简体" w:eastAsia="方正小标宋简体" w:cs="方正小标宋简体"/>
          <w:b w:val="0"/>
          <w:bCs/>
          <w:i w:val="0"/>
          <w:caps w:val="0"/>
          <w:color w:val="000000"/>
          <w:spacing w:val="0"/>
          <w:sz w:val="24"/>
          <w:szCs w:val="24"/>
          <w:shd w:val="clear" w:fill="FFFFFF"/>
          <w:lang w:val="en-US" w:eastAsia="zh-CN"/>
        </w:rPr>
        <w:t xml:space="preserve"> </w:t>
      </w:r>
      <w:r>
        <w:rPr>
          <w:rFonts w:hint="eastAsia" w:ascii="方正小标宋简体" w:hAnsi="方正小标宋简体" w:eastAsia="方正小标宋简体" w:cs="方正小标宋简体"/>
          <w:b w:val="0"/>
          <w:bCs/>
          <w:i w:val="0"/>
          <w:caps w:val="0"/>
          <w:color w:val="000000"/>
          <w:spacing w:val="0"/>
          <w:sz w:val="24"/>
          <w:szCs w:val="24"/>
          <w:shd w:val="clear" w:fill="FFFFFF"/>
        </w:rPr>
        <w:t>栗战书</w:t>
      </w:r>
      <w:r>
        <w:rPr>
          <w:rFonts w:hint="eastAsia" w:ascii="方正小标宋简体" w:hAnsi="方正小标宋简体" w:eastAsia="方正小标宋简体" w:cs="方正小标宋简体"/>
          <w:b w:val="0"/>
          <w:bCs/>
          <w:i w:val="0"/>
          <w:caps w:val="0"/>
          <w:color w:val="000000"/>
          <w:spacing w:val="0"/>
          <w:sz w:val="24"/>
          <w:szCs w:val="24"/>
          <w:shd w:val="clear" w:fill="FFFFFF"/>
          <w:lang w:val="en-US" w:eastAsia="zh-CN"/>
        </w:rPr>
        <w:t xml:space="preserve"> </w:t>
      </w:r>
      <w:r>
        <w:rPr>
          <w:rFonts w:hint="eastAsia" w:ascii="方正小标宋简体" w:hAnsi="方正小标宋简体" w:eastAsia="方正小标宋简体" w:cs="方正小标宋简体"/>
          <w:b w:val="0"/>
          <w:bCs/>
          <w:i w:val="0"/>
          <w:caps w:val="0"/>
          <w:color w:val="000000"/>
          <w:spacing w:val="0"/>
          <w:sz w:val="24"/>
          <w:szCs w:val="24"/>
          <w:shd w:val="clear" w:fill="FFFFFF"/>
        </w:rPr>
        <w:t>汪洋</w:t>
      </w:r>
      <w:r>
        <w:rPr>
          <w:rFonts w:hint="eastAsia" w:ascii="方正小标宋简体" w:hAnsi="方正小标宋简体" w:eastAsia="方正小标宋简体" w:cs="方正小标宋简体"/>
          <w:b w:val="0"/>
          <w:bCs/>
          <w:i w:val="0"/>
          <w:caps w:val="0"/>
          <w:color w:val="000000"/>
          <w:spacing w:val="0"/>
          <w:sz w:val="24"/>
          <w:szCs w:val="24"/>
          <w:shd w:val="clear" w:fill="FFFFFF"/>
          <w:lang w:val="en-US" w:eastAsia="zh-CN"/>
        </w:rPr>
        <w:t xml:space="preserve"> </w:t>
      </w:r>
      <w:r>
        <w:rPr>
          <w:rFonts w:hint="eastAsia" w:ascii="方正小标宋简体" w:hAnsi="方正小标宋简体" w:eastAsia="方正小标宋简体" w:cs="方正小标宋简体"/>
          <w:b w:val="0"/>
          <w:bCs/>
          <w:i w:val="0"/>
          <w:caps w:val="0"/>
          <w:color w:val="000000"/>
          <w:spacing w:val="0"/>
          <w:sz w:val="24"/>
          <w:szCs w:val="24"/>
          <w:shd w:val="clear" w:fill="FFFFFF"/>
        </w:rPr>
        <w:t>赵乐际</w:t>
      </w:r>
      <w:r>
        <w:rPr>
          <w:rFonts w:hint="eastAsia" w:ascii="方正小标宋简体" w:hAnsi="方正小标宋简体" w:eastAsia="方正小标宋简体" w:cs="方正小标宋简体"/>
          <w:b w:val="0"/>
          <w:bCs/>
          <w:i w:val="0"/>
          <w:caps w:val="0"/>
          <w:color w:val="000000"/>
          <w:spacing w:val="0"/>
          <w:sz w:val="24"/>
          <w:szCs w:val="24"/>
          <w:shd w:val="clear" w:fill="FFFFFF"/>
          <w:lang w:val="en-US" w:eastAsia="zh-CN"/>
        </w:rPr>
        <w:t xml:space="preserve"> </w:t>
      </w:r>
      <w:r>
        <w:rPr>
          <w:rFonts w:hint="eastAsia" w:ascii="方正小标宋简体" w:hAnsi="方正小标宋简体" w:eastAsia="方正小标宋简体" w:cs="方正小标宋简体"/>
          <w:b w:val="0"/>
          <w:bCs/>
          <w:i w:val="0"/>
          <w:caps w:val="0"/>
          <w:color w:val="000000"/>
          <w:spacing w:val="0"/>
          <w:sz w:val="24"/>
          <w:szCs w:val="24"/>
          <w:shd w:val="clear" w:fill="FFFFFF"/>
        </w:rPr>
        <w:t>韩正</w:t>
      </w:r>
      <w:r>
        <w:rPr>
          <w:rFonts w:hint="eastAsia" w:ascii="方正小标宋简体" w:hAnsi="方正小标宋简体" w:eastAsia="方正小标宋简体" w:cs="方正小标宋简体"/>
          <w:b w:val="0"/>
          <w:bCs/>
          <w:i w:val="0"/>
          <w:caps w:val="0"/>
          <w:color w:val="000000"/>
          <w:spacing w:val="0"/>
          <w:sz w:val="24"/>
          <w:szCs w:val="24"/>
          <w:shd w:val="clear" w:fill="FFFFFF"/>
          <w:lang w:val="en-US" w:eastAsia="zh-CN"/>
        </w:rPr>
        <w:t xml:space="preserve"> </w:t>
      </w:r>
      <w:r>
        <w:rPr>
          <w:rFonts w:hint="eastAsia" w:ascii="方正小标宋简体" w:hAnsi="方正小标宋简体" w:eastAsia="方正小标宋简体" w:cs="方正小标宋简体"/>
          <w:b w:val="0"/>
          <w:bCs/>
          <w:i w:val="0"/>
          <w:caps w:val="0"/>
          <w:color w:val="000000"/>
          <w:spacing w:val="0"/>
          <w:sz w:val="24"/>
          <w:szCs w:val="24"/>
          <w:shd w:val="clear" w:fill="FFFFFF"/>
        </w:rPr>
        <w:t>王岐山出席 </w:t>
      </w:r>
      <w:r>
        <w:rPr>
          <w:rFonts w:hint="eastAsia" w:ascii="方正小标宋简体" w:hAnsi="方正小标宋简体" w:eastAsia="方正小标宋简体" w:cs="方正小标宋简体"/>
          <w:b w:val="0"/>
          <w:bCs/>
          <w:i w:val="0"/>
          <w:caps w:val="0"/>
          <w:color w:val="000000"/>
          <w:spacing w:val="0"/>
          <w:sz w:val="24"/>
          <w:szCs w:val="24"/>
          <w:shd w:val="clear" w:fill="FFFFFF"/>
          <w:lang w:val="en-US" w:eastAsia="zh-CN"/>
        </w:rPr>
        <w:t xml:space="preserve"> </w:t>
      </w:r>
      <w:r>
        <w:rPr>
          <w:rFonts w:hint="eastAsia" w:ascii="方正小标宋简体" w:hAnsi="方正小标宋简体" w:eastAsia="方正小标宋简体" w:cs="方正小标宋简体"/>
          <w:b w:val="0"/>
          <w:bCs/>
          <w:i w:val="0"/>
          <w:caps w:val="0"/>
          <w:color w:val="000000"/>
          <w:spacing w:val="0"/>
          <w:sz w:val="24"/>
          <w:szCs w:val="24"/>
          <w:shd w:val="clear" w:fill="FFFFFF"/>
        </w:rPr>
        <w:t>王沪宁主持</w:t>
      </w:r>
      <w:bookmarkEnd w:id="35"/>
      <w:bookmarkEnd w:id="36"/>
      <w:bookmarkEnd w:id="37"/>
      <w:bookmarkEnd w:id="38"/>
      <w:bookmarkEnd w:id="39"/>
      <w:bookmarkEnd w:id="40"/>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700" w:lineRule="exact"/>
        <w:ind w:left="0" w:right="0" w:firstLine="0"/>
        <w:jc w:val="center"/>
        <w:textAlignment w:val="auto"/>
        <w:outlineLvl w:val="9"/>
        <w:rPr>
          <w:rFonts w:hint="eastAsia" w:ascii="宋体" w:hAnsi="宋体" w:eastAsia="宋体" w:cs="宋体"/>
          <w:i w:val="0"/>
          <w:caps w:val="0"/>
          <w:color w:val="000000"/>
          <w:spacing w:val="0"/>
          <w:sz w:val="18"/>
          <w:szCs w:val="18"/>
        </w:rPr>
      </w:pPr>
      <w:bookmarkStart w:id="41" w:name="_Toc31938"/>
      <w:bookmarkStart w:id="42" w:name="_Toc20962"/>
      <w:bookmarkStart w:id="43" w:name="_Toc22092"/>
      <w:r>
        <w:rPr>
          <w:rFonts w:hint="eastAsia" w:ascii="楷体_GB2312" w:hAnsi="楷体_GB2312" w:eastAsia="楷体_GB2312" w:cs="楷体_GB2312"/>
          <w:i w:val="0"/>
          <w:caps w:val="0"/>
          <w:color w:val="000000"/>
          <w:spacing w:val="0"/>
          <w:sz w:val="28"/>
          <w:szCs w:val="28"/>
          <w:shd w:val="clear" w:fill="FFFFFF"/>
        </w:rPr>
        <w:t>2021年02月21日</w:t>
      </w:r>
      <w:r>
        <w:rPr>
          <w:rFonts w:hint="eastAsia" w:ascii="楷体_GB2312" w:hAnsi="楷体_GB2312" w:eastAsia="楷体_GB2312" w:cs="楷体_GB2312"/>
          <w:i w:val="0"/>
          <w:caps w:val="0"/>
          <w:color w:val="000000"/>
          <w:spacing w:val="0"/>
          <w:sz w:val="28"/>
          <w:szCs w:val="28"/>
          <w:shd w:val="clear" w:fill="FFFFFF"/>
          <w:lang w:val="en-US" w:eastAsia="zh-CN"/>
        </w:rPr>
        <w:t xml:space="preserve"> </w:t>
      </w:r>
      <w:r>
        <w:rPr>
          <w:rFonts w:hint="eastAsia" w:ascii="楷体_GB2312" w:hAnsi="楷体_GB2312" w:eastAsia="楷体_GB2312" w:cs="楷体_GB2312"/>
          <w:i w:val="0"/>
          <w:caps w:val="0"/>
          <w:color w:val="000000"/>
          <w:spacing w:val="0"/>
          <w:sz w:val="28"/>
          <w:szCs w:val="28"/>
          <w:shd w:val="clear" w:fill="FFFFFF"/>
        </w:rPr>
        <w:t>   来源：</w:t>
      </w:r>
      <w:r>
        <w:rPr>
          <w:rFonts w:hint="eastAsia" w:ascii="楷体_GB2312" w:hAnsi="楷体_GB2312" w:eastAsia="楷体_GB2312" w:cs="楷体_GB2312"/>
          <w:i w:val="0"/>
          <w:caps w:val="0"/>
          <w:color w:val="000000"/>
          <w:spacing w:val="0"/>
          <w:sz w:val="28"/>
          <w:szCs w:val="28"/>
          <w:u w:val="none"/>
          <w:shd w:val="clear" w:fill="FFFFFF"/>
        </w:rPr>
        <w:fldChar w:fldCharType="begin"/>
      </w:r>
      <w:r>
        <w:rPr>
          <w:rFonts w:hint="eastAsia" w:ascii="楷体_GB2312" w:hAnsi="楷体_GB2312" w:eastAsia="楷体_GB2312" w:cs="楷体_GB2312"/>
          <w:i w:val="0"/>
          <w:caps w:val="0"/>
          <w:color w:val="000000"/>
          <w:spacing w:val="0"/>
          <w:sz w:val="28"/>
          <w:szCs w:val="28"/>
          <w:u w:val="none"/>
          <w:shd w:val="clear" w:fill="FFFFFF"/>
        </w:rPr>
        <w:instrText xml:space="preserve"> HYPERLINK "http://paper.people.com.cn/rmrb/html/2021-02/21/nw.D110000renmrb_20210221_1-01.htm" \t "http://cpc.people.com.cn/n1/2021/0221/_blank" </w:instrText>
      </w:r>
      <w:r>
        <w:rPr>
          <w:rFonts w:hint="eastAsia" w:ascii="楷体_GB2312" w:hAnsi="楷体_GB2312" w:eastAsia="楷体_GB2312" w:cs="楷体_GB2312"/>
          <w:i w:val="0"/>
          <w:caps w:val="0"/>
          <w:color w:val="000000"/>
          <w:spacing w:val="0"/>
          <w:sz w:val="28"/>
          <w:szCs w:val="28"/>
          <w:u w:val="none"/>
          <w:shd w:val="clear" w:fill="FFFFFF"/>
        </w:rPr>
        <w:fldChar w:fldCharType="separate"/>
      </w:r>
      <w:r>
        <w:rPr>
          <w:rStyle w:val="16"/>
          <w:rFonts w:hint="eastAsia" w:ascii="楷体_GB2312" w:hAnsi="楷体_GB2312" w:eastAsia="楷体_GB2312" w:cs="楷体_GB2312"/>
          <w:i w:val="0"/>
          <w:caps w:val="0"/>
          <w:color w:val="000000"/>
          <w:spacing w:val="0"/>
          <w:sz w:val="28"/>
          <w:szCs w:val="28"/>
          <w:u w:val="none"/>
          <w:shd w:val="clear" w:fill="FFFFFF"/>
        </w:rPr>
        <w:t>人民网－人民日报</w:t>
      </w:r>
      <w:r>
        <w:rPr>
          <w:rFonts w:hint="eastAsia" w:ascii="楷体_GB2312" w:hAnsi="楷体_GB2312" w:eastAsia="楷体_GB2312" w:cs="楷体_GB2312"/>
          <w:i w:val="0"/>
          <w:caps w:val="0"/>
          <w:color w:val="000000"/>
          <w:spacing w:val="0"/>
          <w:sz w:val="28"/>
          <w:szCs w:val="28"/>
          <w:u w:val="none"/>
          <w:shd w:val="clear" w:fill="FFFFFF"/>
        </w:rPr>
        <w:fldChar w:fldCharType="end"/>
      </w:r>
      <w:bookmarkEnd w:id="41"/>
      <w:bookmarkEnd w:id="42"/>
      <w:bookmarkEnd w:id="43"/>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left"/>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b/>
          <w:bCs/>
          <w:i w:val="0"/>
          <w:caps w:val="0"/>
          <w:color w:val="000000"/>
          <w:spacing w:val="0"/>
          <w:sz w:val="32"/>
          <w:szCs w:val="32"/>
          <w:shd w:val="clear" w:fill="FFFFFF"/>
          <w:lang w:eastAsia="zh-CN"/>
        </w:rPr>
        <w:t>摘要：</w:t>
      </w:r>
      <w:r>
        <w:rPr>
          <w:rFonts w:hint="eastAsia" w:ascii="仿宋_GB2312" w:hAnsi="仿宋_GB2312" w:eastAsia="仿宋_GB2312" w:cs="仿宋_GB2312"/>
          <w:i w:val="0"/>
          <w:caps w:val="0"/>
          <w:color w:val="000000"/>
          <w:spacing w:val="0"/>
          <w:sz w:val="32"/>
          <w:szCs w:val="32"/>
          <w:shd w:val="clear" w:fill="FFFFFF"/>
        </w:rPr>
        <w:t>■在全党开展党史学习教育，是党中央立足党的百年历史新起点、统筹中华民族伟大复兴战略全局和世界百年未有之大变局、为动员全党全国满怀信心投身全面建设社会主义现代化国家而作出的重大决策。全党同志要做到学史明理、学史增信、学史崇德、学史力行，学党史、悟思想、办实事、开新局，以昂扬姿态奋力开启全面建设社会主义现代化国家新征程，以优异成绩迎接建党一百周年</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firstLine="640" w:firstLineChars="200"/>
        <w:jc w:val="left"/>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shd w:val="clear" w:fill="FFFFFF"/>
        </w:rPr>
        <w:t>■我们党历来重视党史学习教育，注重用党的奋斗历程和伟大成就鼓舞斗志、明确方向，用党的光荣传统和优良作风坚定信念、凝聚力量，用党的实践创造和历史经验启迪智慧、砥砺品格。党的十八大以来，党中央高度重视学习党的历史，提出了一系列要求。在庆祝我们党百年华诞的重大时刻，在“两个一百年”奋斗目标历史交汇的关键节点，在全党集中开展党史学习教育，正当其时，十分必要</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firstLine="640" w:firstLineChars="200"/>
        <w:jc w:val="left"/>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shd w:val="clear" w:fill="FFFFFF"/>
        </w:rPr>
        <w:t>■我们党的历史，就是一部不断推进马克思主义中国化的历史，就是一部不断推进理论创新、进行理论创造的历史。一百年来，我们党坚持解放思想和实事求是相统一、培元固本和守正创新相统一，不断开辟马克思主义新境界，产生了毛泽东思想、邓小平理论、“三个代表”重要思想、科学发展观，产生了新时代中国特色社会主义思想，为党和人民事业发展提供了科学理论指导。要教育引导全党从党的非凡历程中领会马克思主义是如何深刻改变中国、改变世界的，感悟马克思主义的真理力量和实践力量，深化对中国化马克思主义既一脉相承又与时俱进的理论品质的认识，特别是要结合党的十八大以来党和国家事业取得历史性成就、发生历史性变革的进程，深刻学习领会新时代党的创新理论，坚持不懈用党的创新理论最新成果武装头脑、指导实践、推动工作</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firstLine="640" w:firstLineChars="200"/>
        <w:jc w:val="left"/>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shd w:val="clear" w:fill="FFFFFF"/>
        </w:rPr>
        <w:t>■我们党的百年历史，就是一部践行党的初心使命的历史，就是一部党与人民心连心、同呼吸、共命运的历史。历史充分证明，江山就是人民，人民就是江山，人心向背关系党的生死存亡。赢得人民信任，得到人民支持，党就能够克服任何困难，就能够无往而不胜。要教育引导全党深刻认识党的性质宗旨，坚持一切为了人民、一切依靠人民，始终把人民放在心中最高位置、把人民对美好生活的向往作为奋斗目标，推动改革发展成果更多更公平惠及全体人民，推动共同富裕取得更为明显的实质性进展，把14亿中国人民凝聚成推动中华民族伟大复兴的磅礴力量</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firstLine="640" w:firstLineChars="200"/>
        <w:jc w:val="left"/>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shd w:val="clear" w:fill="FFFFFF"/>
        </w:rPr>
        <w:t>■旗帜鲜明讲政治、保证党的团结和集中统一是党的生命，也是我们党能成为百年大党、创造世纪伟业的关键所在。要教育引导全党从党史中汲取正反两方面历史经验，坚定不移向党中央看齐，不断提高政治判断力、政治领悟力、政治执行力，自觉在思想上政治上行动上同党中央保持高度一致，确保全党上下拧成一股绳，心往一处想、劲往一处使</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firstLine="640" w:firstLineChars="200"/>
        <w:jc w:val="left"/>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shd w:val="clear" w:fill="FFFFFF"/>
        </w:rPr>
        <w:t>■在全党开展党史学习教育，是党的政治生活中的一件大事。全党要高度重视，提高思想站位，立足实际、守正创新，高标准高质量完成学习教育各项任务。一是要加强组织领导。二是要树立正确党史观。三是要切实为群众办实事解难题。四是要注重方式方法创新</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firstLine="640" w:firstLineChars="200"/>
        <w:jc w:val="left"/>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shd w:val="clear" w:fill="FFFFFF"/>
        </w:rPr>
        <w:t>本报北京2月20日电  党史学习教育动员大会20日上午在北京召开。中共中央总书记、国家主席、中央军委主席习近平出席会议并发表重要讲话。他强调，在全党开展党史学习教育，是党中央立足党的百年历史新起点、统筹中华民族伟大复兴战略全局和世界百年未有之大变局、为动员全党全国满怀信心投身全面建设社会主义现代化国家而作出的重大决策。全党同志要做到学史明理、学史增信、学史崇德、学史力行，学党史、悟思想、办实事、开新局，以昂扬姿态奋力开启全面建设社会主义现代化国家新征程，以优异成绩迎接建党一百周年。</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left"/>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shd w:val="clear" w:fill="FFFFFF"/>
        </w:rPr>
        <w:t>中共中央政治局常委李克强、栗战书、汪洋、赵乐际、韩正，国家副主席王岐山出席会议，中共中央政治局常委王沪宁主持会议。</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left"/>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shd w:val="clear" w:fill="FFFFFF"/>
        </w:rPr>
        <w:t>习近平强调，我们党历来重视党史学习教育，注重用党的奋斗历程和伟大成就鼓舞斗志、明确方向，用党的光荣传统和优良作风坚定信念、凝聚力量，用党的实践创造和历史经验启迪智慧、砥砺品格。党的十八大以来，党中央高度重视学习党的历史，提出了一系列要求。在庆祝我们党百年华诞的重大时刻，在“两个一百年”奋斗目标历史交汇的关键节点，在全党集中开展党史学习教育，正当其时，十分必要。</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firstLine="640" w:firstLineChars="200"/>
        <w:jc w:val="left"/>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shd w:val="clear" w:fill="FFFFFF"/>
        </w:rPr>
        <w:t>习近平指出，我们党的一百年，是矢志践行初心使命的一百年，是筚路蓝缕奠基立业的一百年，是创造辉煌开辟未来的一百年。回望过往的奋斗路，眺望前方的奋进路，必须把党的历史学习好、总结好，把党的成功经验传承好、发扬好。在全党开展党史学习教育，是牢记初心使命、推进中华民族伟大复兴历史伟业的必然要求，是坚定信仰信念、在新时代坚持和发展中国特色社会主义的必然要求，是推进党的自我革命、永葆党的生机活力的必然要求。党中央已经印发了《关于在全党开展党史学习教育的通知》，对这项工作作出了部署，各级党委（党组）要认真贯彻落实。</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firstLine="640" w:firstLineChars="200"/>
        <w:jc w:val="left"/>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shd w:val="clear" w:fill="FFFFFF"/>
        </w:rPr>
        <w:t>习近平强调，我们党的历史，就是一部不断推进马克思主义中国化的历史，就是一部不断推进理论创新、进行理论创造的历史。一百年来，我们党坚持解放思想和实事求是相统一、培元固本和守正创新相统一，不断开辟马克思主义新境界，产生了毛泽东思想、邓小平理论、“三个代表”重要思想、科学发展观，产生了新时代中国特色社会主义思想，为党和人民事业发展提供了科学理论指导。要教育引导全党从党的非凡历程中领会马克思主义是如何深刻改变中国、改变世界的，感悟马克思主义的真理力量和实践力量，深化对中国化马克思主义既一脉相承又与时俱进的理论品质的认识，特别是要结合党的十八大以来党和国家事业取得历史性成就、发生历史性变革的进程，深刻学习领会新时代党的创新理论，坚持不懈用党的创新理论最新成果武装头脑、指导实践、推动工作。</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firstLine="640" w:firstLineChars="200"/>
        <w:jc w:val="left"/>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shd w:val="clear" w:fill="FFFFFF"/>
        </w:rPr>
        <w:t>习近平指出，在一百年的奋斗中，我们党始终以马克思主义基本原理分析把握历史大势，正确处理中国和世界的关系，善于抓住和用好各种历史机遇。要教育引导全党胸怀中华民族伟大复兴战略全局和世界百年未有之大变局，树立大历史观，从历史长河、时代大潮、全球风云中分析演变机理、探究历史规律，提出因应的战略策略，增强工作的系统性、预见性、创造性。</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firstLine="640" w:firstLineChars="200"/>
        <w:jc w:val="left"/>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shd w:val="clear" w:fill="FFFFFF"/>
        </w:rPr>
        <w:t>习近平指出，我们党的百年历史，就是一部践行党的初心使命的历史，就是一部党与人民心连心、同呼吸、共命运的历史。历史充分证明，江山就是人民，人民就是江山，人心向背关系党的生死存亡。赢得人民信任，得到人民支持，党就能够克服任何困难，就能够无往而不胜。要教育引导全党深刻认识党的性质宗旨，坚持一切为了人民、一切依靠人民，始终把人民放在心中最高位置、把人民对美好生活的向往作为奋斗目标，推动改革发展成果更多更公平惠及全体人民，推动共同富裕取得更为明显的实质性进展，把14亿中国人民凝聚成推动中华民族伟大复兴的磅礴力量。</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firstLine="640" w:firstLineChars="200"/>
        <w:jc w:val="left"/>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shd w:val="clear" w:fill="FFFFFF"/>
        </w:rPr>
        <w:t>习近平强调，我们党一步步走过来，很重要的一条就是不断总结经验、提高本领，不断提高应对风险、迎接挑战、化险为夷的能力水平。要更好应对前进道路上各种可以预见和难以预见的风险挑战，必须从历史中获得启迪，从历史经验中提炼出克敌制胜的法宝。要抓住建党一百年这个重要节点，从具有许多新的历史特点的伟大斗争出发，总结运用党在不同历史时期成功应对风险挑战的丰富经验，做好较长时间应对外部环境变化的思想准备和工作准备，不断增强斗争意识、丰富斗争经验、提升斗争本领，不断提高治国理政能力和水平。党的百年历史，也是我们党不断保持党的先进性和纯洁性、不断防范被瓦解、被腐化的危险的历史。要教育引导全党通过总结历史经验教训，着眼于解决党的建设的现实问题，不断提高党的领导水平和执政水平、增强拒腐防变和抵御风险能力。</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firstLine="640" w:firstLineChars="200"/>
        <w:jc w:val="left"/>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shd w:val="clear" w:fill="FFFFFF"/>
        </w:rPr>
        <w:t>习近平指出，在一百年的非凡奋斗历程中，一代又一代中国共产党人顽强拼搏、不懈奋斗，涌现了一大批视死如归的革命烈士、一大批顽强奋斗的英雄人物、一大批忘我奉献的先进模范，形成了一系列伟大精神，构筑起了中国共产党人的精神谱系，为我们立党兴党强党提供了丰厚滋养。要教育引导全党大力发扬红色传统、传承红色基因，赓续共产党人精神血脉，始终保持革命者的大无畏奋斗精神，鼓起迈进新征程、奋进新时代的精气神。</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firstLine="640" w:firstLineChars="200"/>
        <w:jc w:val="left"/>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shd w:val="clear" w:fill="FFFFFF"/>
        </w:rPr>
        <w:t>习近平强调，旗帜鲜明讲政治、保证党的团结和集中统一是党的生命，也是我们党能成为百年大党、创造世纪伟业的关键所在。要教育引导全党从党史中汲取正反两方面历史经验，坚定不移向党中央看齐，不断提高政治判断力、政治领悟力、政治执行力，自觉在思想上政治上行动上同党中央保持高度一致，确保全党上下拧成一股绳，心往一处想、劲往一处使。</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firstLine="640" w:firstLineChars="200"/>
        <w:jc w:val="left"/>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shd w:val="clear" w:fill="FFFFFF"/>
        </w:rPr>
        <w:t>习近平指出，在全党开展党史学习教育，是党的政治生活中的一件大事。全党要高度重视，提高思想站位，立足实际、守正创新，高标准高质量完成学习教育各项任务。一是要加强组织领导。各级党委（党组）要承担主体责任，主要领导同志要亲自抓、率先垂范，成立领导机构，切实把党中央部署和要求落到实处。中央党史学习教育领导小组要加强指导，省区市党委和行业系统主管部门党组（党委）要加强对所属地区、部门和单位的督导检查。党员、干部不管处在哪个层次和岗位，都要全身心投入，做到学有所思、学有所悟、学有所得。二是要树立正确党史观。要坚持以我们党关于历史问题的两个决议和党中央有关精神为依据，准确把握党的历史发展的主题主线、主流本质，正确认识和科学评价党史上的重大事件、重要会议、重要人物。要旗帜鲜明反对历史虚无主义，加强思想引导和理论辨析，更好正本清源、固本培元。三是要切实为群众办实事解难题。要把学习党史同总结经验、观照现实、推动工作结合起来，同解决实际问题结合起来，开展好“我为群众办实事”实践活动，把学习成效转化为工作动力和成效，防止学习和工作“两张皮”。四是要注重方式方法创新。要发扬马克思主义优良学风，明确学习要求、学习任务，推进内容、形式、方法的创新，不断增强针对性和实效性。要以县处级以上领导干部为重点，坚持集中学习和自主学习相结合，坚持规定动作和自选动作相结合，开展特色鲜明、形式多样的学习教育。要在全社会广泛开展党史、新中国史、改革开放史、社会主义发展史宣传教育，普及党史知识，推动党史学习教育深入群众、深入基层、深入人心。要鼓励创作党史题材的文艺作品特别是影视作品，抓好青少年学习教育，让红色基因、革命薪火代代传承。要坚决克服形式主义、官僚主义，注意为基层减负。</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firstLine="640" w:firstLineChars="200"/>
        <w:jc w:val="left"/>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shd w:val="clear" w:fill="FFFFFF"/>
        </w:rPr>
        <w:t>王沪宁在主持会议时表示，习近平总书记的重要讲话，高屋建瓴，视野宏大，思想深邃，深刻阐述了开展党史学习教育的重大意义，深刻阐明了党史学习教育的重点和工作要求，对党史学习教育进行了全面动员和部署，为我们开展好党史学习教育指明了方向，提供了根本遵循。各级党委（党组）要认真学习领会习近平总书记重要讲话精神，切实增强“四个意识”、坚定“四个自信”、做到“两个维护”，提高思想认识和政治站位，抓好本地区本部门本单位的学习教育工作。</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left"/>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shd w:val="clear" w:fill="FFFFFF"/>
        </w:rPr>
        <w:t>中共中央政治局委员、中央书记处书记，全国人大常委会党员副委员长，国务委员，最高人民法院院长，最高人民检察院检察长，全国政协党员副主席，以及中央军委委员出席会议。</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left"/>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shd w:val="clear" w:fill="FFFFFF"/>
        </w:rPr>
        <w:t>会议以电视电话会议形式召开，党史学习教育领导小组成员，各省区市和副省级城市、新疆生产建设兵团领导班子成员，中央和国家机关各部门、各人民团体，中管金融企业、中管企业、中管高校，军队有关单位主要负责同志，党史学习教育中央宣讲团成员等参加会议。</w:t>
      </w:r>
    </w:p>
    <w:p>
      <w:pPr>
        <w:ind w:firstLine="640" w:firstLineChars="200"/>
        <w:rPr>
          <w:rFonts w:hint="eastAsia" w:ascii="仿宋_GB2312" w:hAnsi="仿宋_GB2312" w:eastAsia="仿宋_GB2312" w:cs="仿宋_GB2312"/>
          <w:i w:val="0"/>
          <w:caps w:val="0"/>
          <w:color w:val="000000"/>
          <w:spacing w:val="0"/>
          <w:sz w:val="32"/>
          <w:szCs w:val="32"/>
          <w:shd w:val="clear" w:fill="FFFFFF"/>
        </w:rPr>
      </w:pPr>
      <w:r>
        <w:rPr>
          <w:rFonts w:hint="eastAsia" w:ascii="仿宋_GB2312" w:hAnsi="仿宋_GB2312" w:eastAsia="仿宋_GB2312" w:cs="仿宋_GB2312"/>
          <w:i w:val="0"/>
          <w:caps w:val="0"/>
          <w:color w:val="000000"/>
          <w:spacing w:val="0"/>
          <w:sz w:val="32"/>
          <w:szCs w:val="32"/>
          <w:shd w:val="clear" w:fill="FFFFFF"/>
        </w:rPr>
        <w:t>《 人民日报 》（ 2021年02月21日 01 版）</w:t>
      </w:r>
    </w:p>
    <w:p>
      <w:pPr>
        <w:ind w:firstLine="640" w:firstLineChars="200"/>
        <w:rPr>
          <w:rFonts w:hint="eastAsia" w:ascii="仿宋_GB2312" w:hAnsi="仿宋_GB2312" w:eastAsia="仿宋_GB2312" w:cs="仿宋_GB2312"/>
          <w:i w:val="0"/>
          <w:caps w:val="0"/>
          <w:color w:val="000000"/>
          <w:spacing w:val="0"/>
          <w:sz w:val="32"/>
          <w:szCs w:val="32"/>
          <w:shd w:val="clear" w:fill="FFFFFF"/>
        </w:rPr>
      </w:pPr>
    </w:p>
    <w:p>
      <w:pPr>
        <w:ind w:firstLine="640" w:firstLineChars="200"/>
        <w:rPr>
          <w:rFonts w:hint="eastAsia" w:ascii="仿宋_GB2312" w:hAnsi="仿宋_GB2312" w:eastAsia="仿宋_GB2312" w:cs="仿宋_GB2312"/>
          <w:i w:val="0"/>
          <w:caps w:val="0"/>
          <w:color w:val="000000"/>
          <w:spacing w:val="0"/>
          <w:sz w:val="32"/>
          <w:szCs w:val="32"/>
          <w:shd w:val="clear" w:fill="FFFFFF"/>
        </w:rPr>
      </w:pPr>
    </w:p>
    <w:p>
      <w:pPr>
        <w:ind w:firstLine="640" w:firstLineChars="200"/>
        <w:rPr>
          <w:rFonts w:hint="eastAsia" w:ascii="仿宋_GB2312" w:hAnsi="仿宋_GB2312" w:eastAsia="仿宋_GB2312" w:cs="仿宋_GB2312"/>
          <w:i w:val="0"/>
          <w:caps w:val="0"/>
          <w:color w:val="000000"/>
          <w:spacing w:val="0"/>
          <w:sz w:val="32"/>
          <w:szCs w:val="32"/>
          <w:shd w:val="clear" w:fill="FFFFFF"/>
        </w:rPr>
      </w:pPr>
    </w:p>
    <w:p>
      <w:pPr>
        <w:ind w:firstLine="640" w:firstLineChars="200"/>
        <w:rPr>
          <w:rFonts w:hint="eastAsia" w:ascii="仿宋_GB2312" w:hAnsi="仿宋_GB2312" w:eastAsia="仿宋_GB2312" w:cs="仿宋_GB2312"/>
          <w:i w:val="0"/>
          <w:caps w:val="0"/>
          <w:color w:val="000000"/>
          <w:spacing w:val="0"/>
          <w:sz w:val="32"/>
          <w:szCs w:val="32"/>
          <w:shd w:val="clear" w:fill="FFFFFF"/>
        </w:rPr>
      </w:pPr>
    </w:p>
    <w:p>
      <w:pPr>
        <w:ind w:firstLine="640" w:firstLineChars="200"/>
        <w:rPr>
          <w:rFonts w:hint="eastAsia" w:ascii="仿宋_GB2312" w:hAnsi="仿宋_GB2312" w:eastAsia="仿宋_GB2312" w:cs="仿宋_GB2312"/>
          <w:i w:val="0"/>
          <w:caps w:val="0"/>
          <w:color w:val="000000"/>
          <w:spacing w:val="0"/>
          <w:sz w:val="32"/>
          <w:szCs w:val="32"/>
          <w:shd w:val="clear" w:fill="FFFFFF"/>
        </w:rPr>
      </w:pPr>
    </w:p>
    <w:p>
      <w:pPr>
        <w:ind w:firstLine="640" w:firstLineChars="200"/>
        <w:rPr>
          <w:rFonts w:hint="eastAsia" w:ascii="仿宋_GB2312" w:hAnsi="仿宋_GB2312" w:eastAsia="仿宋_GB2312" w:cs="仿宋_GB2312"/>
          <w:i w:val="0"/>
          <w:caps w:val="0"/>
          <w:color w:val="000000"/>
          <w:spacing w:val="0"/>
          <w:sz w:val="32"/>
          <w:szCs w:val="32"/>
          <w:shd w:val="clear" w:fill="FFFFFF"/>
        </w:rPr>
      </w:pPr>
    </w:p>
    <w:p>
      <w:pPr>
        <w:ind w:firstLine="640" w:firstLineChars="200"/>
        <w:rPr>
          <w:rFonts w:hint="eastAsia" w:ascii="仿宋_GB2312" w:hAnsi="仿宋_GB2312" w:eastAsia="仿宋_GB2312" w:cs="仿宋_GB2312"/>
          <w:i w:val="0"/>
          <w:caps w:val="0"/>
          <w:color w:val="000000"/>
          <w:spacing w:val="0"/>
          <w:sz w:val="32"/>
          <w:szCs w:val="32"/>
          <w:shd w:val="clear" w:fill="FFFFFF"/>
        </w:rPr>
      </w:pPr>
    </w:p>
    <w:p>
      <w:pPr>
        <w:ind w:firstLine="640" w:firstLineChars="200"/>
        <w:rPr>
          <w:rFonts w:hint="eastAsia" w:ascii="仿宋_GB2312" w:hAnsi="仿宋_GB2312" w:eastAsia="仿宋_GB2312" w:cs="仿宋_GB2312"/>
          <w:i w:val="0"/>
          <w:caps w:val="0"/>
          <w:color w:val="000000"/>
          <w:spacing w:val="0"/>
          <w:sz w:val="32"/>
          <w:szCs w:val="32"/>
          <w:shd w:val="clear" w:fill="FFFFFF"/>
        </w:rPr>
      </w:pPr>
    </w:p>
    <w:p>
      <w:pPr>
        <w:ind w:firstLine="640" w:firstLineChars="200"/>
        <w:rPr>
          <w:rFonts w:hint="eastAsia" w:ascii="仿宋_GB2312" w:hAnsi="仿宋_GB2312" w:eastAsia="仿宋_GB2312" w:cs="仿宋_GB2312"/>
          <w:i w:val="0"/>
          <w:caps w:val="0"/>
          <w:color w:val="000000"/>
          <w:spacing w:val="0"/>
          <w:sz w:val="32"/>
          <w:szCs w:val="32"/>
          <w:shd w:val="clear" w:fill="FFFFFF"/>
        </w:rPr>
      </w:pPr>
    </w:p>
    <w:p>
      <w:pPr>
        <w:ind w:firstLine="640" w:firstLineChars="200"/>
        <w:rPr>
          <w:rFonts w:hint="eastAsia" w:ascii="仿宋_GB2312" w:hAnsi="仿宋_GB2312" w:eastAsia="仿宋_GB2312" w:cs="仿宋_GB2312"/>
          <w:i w:val="0"/>
          <w:caps w:val="0"/>
          <w:color w:val="000000"/>
          <w:spacing w:val="0"/>
          <w:sz w:val="32"/>
          <w:szCs w:val="32"/>
          <w:shd w:val="clear" w:fill="FFFFFF"/>
        </w:rPr>
      </w:pPr>
    </w:p>
    <w:p>
      <w:pPr>
        <w:ind w:firstLine="640" w:firstLineChars="200"/>
        <w:rPr>
          <w:rFonts w:hint="eastAsia" w:ascii="仿宋_GB2312" w:hAnsi="仿宋_GB2312" w:eastAsia="仿宋_GB2312" w:cs="仿宋_GB2312"/>
          <w:i w:val="0"/>
          <w:caps w:val="0"/>
          <w:color w:val="000000"/>
          <w:spacing w:val="0"/>
          <w:sz w:val="32"/>
          <w:szCs w:val="32"/>
          <w:shd w:val="clear" w:fill="FFFFFF"/>
        </w:rPr>
      </w:pPr>
    </w:p>
    <w:p>
      <w:pPr>
        <w:ind w:firstLine="640" w:firstLineChars="200"/>
        <w:rPr>
          <w:rFonts w:hint="eastAsia" w:ascii="仿宋_GB2312" w:hAnsi="仿宋_GB2312" w:eastAsia="仿宋_GB2312" w:cs="仿宋_GB2312"/>
          <w:i w:val="0"/>
          <w:caps w:val="0"/>
          <w:color w:val="000000"/>
          <w:spacing w:val="0"/>
          <w:sz w:val="32"/>
          <w:szCs w:val="32"/>
          <w:shd w:val="clear" w:fill="FFFFFF"/>
        </w:rPr>
      </w:pPr>
    </w:p>
    <w:p>
      <w:pPr>
        <w:ind w:firstLine="640" w:firstLineChars="200"/>
        <w:rPr>
          <w:rFonts w:hint="eastAsia" w:ascii="仿宋_GB2312" w:hAnsi="仿宋_GB2312" w:eastAsia="仿宋_GB2312" w:cs="仿宋_GB2312"/>
          <w:i w:val="0"/>
          <w:caps w:val="0"/>
          <w:color w:val="000000"/>
          <w:spacing w:val="0"/>
          <w:sz w:val="32"/>
          <w:szCs w:val="32"/>
          <w:shd w:val="clear" w:fill="FFFFFF"/>
        </w:rPr>
      </w:pPr>
    </w:p>
    <w:p>
      <w:pPr>
        <w:ind w:firstLine="640" w:firstLineChars="200"/>
        <w:rPr>
          <w:rFonts w:hint="eastAsia" w:ascii="仿宋_GB2312" w:hAnsi="仿宋_GB2312" w:eastAsia="仿宋_GB2312" w:cs="仿宋_GB2312"/>
          <w:i w:val="0"/>
          <w:caps w:val="0"/>
          <w:color w:val="000000"/>
          <w:spacing w:val="0"/>
          <w:sz w:val="32"/>
          <w:szCs w:val="32"/>
          <w:shd w:val="clear" w:fill="FFFFFF"/>
        </w:rPr>
      </w:pP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outlineLvl w:val="0"/>
        <w:rPr>
          <w:rFonts w:hint="eastAsia" w:ascii="方正小标宋简体" w:hAnsi="方正小标宋简体" w:eastAsia="方正小标宋简体" w:cs="方正小标宋简体"/>
          <w:i w:val="0"/>
          <w:caps w:val="0"/>
          <w:color w:val="000000"/>
          <w:spacing w:val="0"/>
          <w:sz w:val="44"/>
          <w:szCs w:val="44"/>
          <w:shd w:val="clear" w:fill="FFFFFF"/>
        </w:rPr>
      </w:pPr>
      <w:bookmarkStart w:id="44" w:name="_Toc22310"/>
      <w:r>
        <w:rPr>
          <w:rFonts w:hint="eastAsia" w:ascii="方正小标宋简体" w:hAnsi="方正小标宋简体" w:eastAsia="方正小标宋简体" w:cs="方正小标宋简体"/>
          <w:i w:val="0"/>
          <w:caps w:val="0"/>
          <w:color w:val="000000"/>
          <w:spacing w:val="0"/>
          <w:sz w:val="44"/>
          <w:szCs w:val="44"/>
          <w:shd w:val="clear" w:fill="FFFFFF"/>
        </w:rPr>
        <w:t>习近平在广西考察时强调 解放思想深化改革凝心聚力担当实干 建设新时代中国特色社会主义壮美广西</w:t>
      </w:r>
      <w:bookmarkEnd w:id="44"/>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i w:val="0"/>
          <w:caps w:val="0"/>
          <w:color w:val="000000"/>
          <w:spacing w:val="0"/>
          <w:sz w:val="32"/>
          <w:szCs w:val="32"/>
          <w:shd w:val="clear" w:fill="FFFFFF"/>
        </w:rPr>
      </w:pPr>
      <w:r>
        <w:rPr>
          <w:rFonts w:hint="eastAsia" w:ascii="楷体_GB2312" w:hAnsi="楷体_GB2312" w:eastAsia="楷体_GB2312" w:cs="楷体_GB2312"/>
          <w:i w:val="0"/>
          <w:caps w:val="0"/>
          <w:color w:val="000000"/>
          <w:spacing w:val="0"/>
          <w:sz w:val="28"/>
          <w:szCs w:val="28"/>
          <w:shd w:val="clear" w:fill="FFFFFF"/>
        </w:rPr>
        <w:t>2021年04月27日    来源：</w:t>
      </w:r>
      <w:r>
        <w:rPr>
          <w:rFonts w:hint="eastAsia" w:ascii="楷体_GB2312" w:hAnsi="楷体_GB2312" w:eastAsia="楷体_GB2312" w:cs="楷体_GB2312"/>
          <w:i w:val="0"/>
          <w:caps w:val="0"/>
          <w:color w:val="000000"/>
          <w:spacing w:val="0"/>
          <w:sz w:val="28"/>
          <w:szCs w:val="28"/>
          <w:shd w:val="clear" w:fill="FFFFFF"/>
        </w:rPr>
        <w:fldChar w:fldCharType="begin"/>
      </w:r>
      <w:r>
        <w:rPr>
          <w:rFonts w:hint="eastAsia" w:ascii="楷体_GB2312" w:hAnsi="楷体_GB2312" w:eastAsia="楷体_GB2312" w:cs="楷体_GB2312"/>
          <w:i w:val="0"/>
          <w:caps w:val="0"/>
          <w:color w:val="000000"/>
          <w:spacing w:val="0"/>
          <w:sz w:val="28"/>
          <w:szCs w:val="28"/>
          <w:shd w:val="clear" w:fill="FFFFFF"/>
        </w:rPr>
        <w:instrText xml:space="preserve"> HYPERLINK "http://www.xinhuanet.com/politics/2021-04/27/c_1127382754.htm" \t "http://cpc.people.com.cn/n1/2021/0427/_blank" </w:instrText>
      </w:r>
      <w:r>
        <w:rPr>
          <w:rFonts w:hint="eastAsia" w:ascii="楷体_GB2312" w:hAnsi="楷体_GB2312" w:eastAsia="楷体_GB2312" w:cs="楷体_GB2312"/>
          <w:i w:val="0"/>
          <w:caps w:val="0"/>
          <w:color w:val="000000"/>
          <w:spacing w:val="0"/>
          <w:sz w:val="28"/>
          <w:szCs w:val="28"/>
          <w:shd w:val="clear" w:fill="FFFFFF"/>
        </w:rPr>
        <w:fldChar w:fldCharType="separate"/>
      </w:r>
      <w:r>
        <w:rPr>
          <w:rFonts w:hint="eastAsia" w:ascii="楷体_GB2312" w:hAnsi="楷体_GB2312" w:eastAsia="楷体_GB2312" w:cs="楷体_GB2312"/>
          <w:i w:val="0"/>
          <w:caps w:val="0"/>
          <w:color w:val="000000"/>
          <w:spacing w:val="0"/>
          <w:sz w:val="28"/>
          <w:szCs w:val="28"/>
          <w:shd w:val="clear" w:fill="FFFFFF"/>
        </w:rPr>
        <w:t>新华网</w:t>
      </w:r>
      <w:r>
        <w:rPr>
          <w:rFonts w:hint="eastAsia" w:ascii="楷体_GB2312" w:hAnsi="楷体_GB2312" w:eastAsia="楷体_GB2312" w:cs="楷体_GB2312"/>
          <w:i w:val="0"/>
          <w:caps w:val="0"/>
          <w:color w:val="000000"/>
          <w:spacing w:val="0"/>
          <w:sz w:val="28"/>
          <w:szCs w:val="28"/>
          <w:shd w:val="clear" w:fill="FFFFFF"/>
        </w:rPr>
        <w:fldChar w:fldCharType="end"/>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i w:val="0"/>
          <w:caps w:val="0"/>
          <w:color w:val="000000"/>
          <w:spacing w:val="0"/>
          <w:sz w:val="32"/>
          <w:szCs w:val="32"/>
          <w:shd w:val="clear" w:fill="FFFFFF"/>
        </w:rPr>
      </w:pPr>
      <w:r>
        <w:rPr>
          <w:rFonts w:hint="eastAsia" w:ascii="仿宋_GB2312" w:hAnsi="仿宋_GB2312" w:eastAsia="仿宋_GB2312" w:cs="仿宋_GB2312"/>
          <w:i w:val="0"/>
          <w:caps w:val="0"/>
          <w:color w:val="000000"/>
          <w:spacing w:val="0"/>
          <w:sz w:val="32"/>
          <w:szCs w:val="32"/>
          <w:shd w:val="clear" w:fill="FFFFFF"/>
        </w:rPr>
        <w:t>新华社南宁4月27日电 中共中央总书记、国家主席、中央军委主席习近平近日在广西考察时强调，要坚决贯彻党中央决策部署，完整、准确、全面贯彻新发展理念，坚持稳中求进工作总基调，解放思想、深化改革、凝心聚力、担当实干，统筹疫情防控和经济社会发展，统筹发展和安全，在推动边疆民族地区高质量发展上闯出新路子，在服务和融入新发展格局上展现新作为，在推动绿色发展上迈出新步伐，在巩固发展民族团结、社会稳定、边疆安宁上彰显新担当，建设新时代中国特色社会主义壮美广西。</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i w:val="0"/>
          <w:caps w:val="0"/>
          <w:color w:val="000000"/>
          <w:spacing w:val="0"/>
          <w:sz w:val="32"/>
          <w:szCs w:val="32"/>
          <w:shd w:val="clear" w:fill="FFFFFF"/>
        </w:rPr>
      </w:pPr>
      <w:r>
        <w:rPr>
          <w:rFonts w:hint="eastAsia" w:ascii="仿宋_GB2312" w:hAnsi="仿宋_GB2312" w:eastAsia="仿宋_GB2312" w:cs="仿宋_GB2312"/>
          <w:i w:val="0"/>
          <w:caps w:val="0"/>
          <w:color w:val="000000"/>
          <w:spacing w:val="0"/>
          <w:sz w:val="32"/>
          <w:szCs w:val="32"/>
          <w:shd w:val="clear" w:fill="FFFFFF"/>
        </w:rPr>
        <w:t>4月25日至27日，习近平在广西壮族自治区党委书记鹿心社和自治区政府主席蓝天立陪同下，先后来到桂林、柳州、南宁等地，深入革命纪念馆、农村、企业、民族博物馆等，就贯彻党的十九届五中全会精神、开展党史学习教育、推动“十四五”开好局起好步等进行调研。</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i w:val="0"/>
          <w:caps w:val="0"/>
          <w:color w:val="000000"/>
          <w:spacing w:val="0"/>
          <w:sz w:val="32"/>
          <w:szCs w:val="32"/>
          <w:shd w:val="clear" w:fill="FFFFFF"/>
        </w:rPr>
      </w:pPr>
      <w:r>
        <w:rPr>
          <w:rFonts w:hint="eastAsia" w:ascii="仿宋_GB2312" w:hAnsi="仿宋_GB2312" w:eastAsia="仿宋_GB2312" w:cs="仿宋_GB2312"/>
          <w:i w:val="0"/>
          <w:caps w:val="0"/>
          <w:color w:val="000000"/>
          <w:spacing w:val="0"/>
          <w:sz w:val="32"/>
          <w:szCs w:val="32"/>
          <w:shd w:val="clear" w:fill="FFFFFF"/>
        </w:rPr>
        <w:t>习近平指出，推动经济高质量发展，既要深刻认识贯彻新发展理念、构建新发展格局对推动地方高质量发展的原则要求，又要准确把握本地区在服务和融入新发展格局中的比较优势，走出一条符合本地实际的高质量发展之路。要推动传统产业高端化、智能化、绿色化，推动全产业链优化升级，积极培育新兴产业，加快数字产业化和产业数字化。要继续深化改革，坚持“两个毫不动摇”，优化营商环境。要加大创新支持力度，优化创新生态环境，推动各类创新要素向企业集聚，激发创新活力，推动科技成果转化。要主动对接长江经济带发展、粤港澳大湾区建设等国家重大战略，融入共建“一带一路”，高水平共建西部陆海新通道，大力发展向海经济，促进中国－东盟开放合作，办好自由贸易试验区，把独特区位优势更好转化为开放发展优势。</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i w:val="0"/>
          <w:caps w:val="0"/>
          <w:color w:val="000000"/>
          <w:spacing w:val="0"/>
          <w:sz w:val="32"/>
          <w:szCs w:val="32"/>
          <w:shd w:val="clear" w:fill="FFFFFF"/>
        </w:rPr>
      </w:pPr>
      <w:r>
        <w:rPr>
          <w:rFonts w:hint="eastAsia" w:ascii="仿宋_GB2312" w:hAnsi="仿宋_GB2312" w:eastAsia="仿宋_GB2312" w:cs="仿宋_GB2312"/>
          <w:i w:val="0"/>
          <w:caps w:val="0"/>
          <w:color w:val="000000"/>
          <w:spacing w:val="0"/>
          <w:sz w:val="32"/>
          <w:szCs w:val="32"/>
          <w:shd w:val="clear" w:fill="FFFFFF"/>
        </w:rPr>
        <w:t>习近平强调，要弘扬伟大脱贫攻坚精神，加快推进乡村振兴，健全农村低收入人口常态化帮扶机制，继续支持脱贫地区特色产业发展，强化易地搬迁后续扶持。要立足广西林果蔬畜糖等特色资源，打造一批特色农业产业集群。要严格实行粮食安全党政同责，压实各级党委和政府保护耕地的责任，稳步提高粮食综合生产能力。要继续打好污染防治攻坚战，把碳达峰、碳中和纳入经济社会发展和生态文明建设整体布局，建立健全绿色低碳循环发展的经济体系，推动经济社会发展全面绿色转型。</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i w:val="0"/>
          <w:caps w:val="0"/>
          <w:color w:val="000000"/>
          <w:spacing w:val="0"/>
          <w:sz w:val="32"/>
          <w:szCs w:val="32"/>
          <w:shd w:val="clear" w:fill="FFFFFF"/>
        </w:rPr>
      </w:pPr>
      <w:r>
        <w:rPr>
          <w:rFonts w:hint="eastAsia" w:ascii="仿宋_GB2312" w:hAnsi="仿宋_GB2312" w:eastAsia="仿宋_GB2312" w:cs="仿宋_GB2312"/>
          <w:i w:val="0"/>
          <w:caps w:val="0"/>
          <w:color w:val="000000"/>
          <w:spacing w:val="0"/>
          <w:sz w:val="32"/>
          <w:szCs w:val="32"/>
          <w:shd w:val="clear" w:fill="FFFFFF"/>
        </w:rPr>
        <w:t>习近平指出，要提高人民生活品质，落实就业优先战略和积极就业政策，做好高校毕业生、退役军人、农民工和城镇困难人员等重点群体就业工作。要完善多渠道灵活就业的社会保障制度，维护好卡车司机、快递小哥、外卖配送员等的合法权益。要全面贯彻党的教育方针，落实立德树人根本任务，加强对线上线下校外培训机构的规范管理。要深化疾病预防控制体系改革，强化基层公共卫生体系，创新医防协同机制，提升基层预防、治疗、护理、康复服务水平，毫不放松抓好常态化疫情防控。要严密防范各种风险挑战，有效遏制重特大安全生产事故，常态化开展扫黑除恶斗争。</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i w:val="0"/>
          <w:caps w:val="0"/>
          <w:color w:val="000000"/>
          <w:spacing w:val="0"/>
          <w:sz w:val="32"/>
          <w:szCs w:val="32"/>
          <w:shd w:val="clear" w:fill="FFFFFF"/>
        </w:rPr>
      </w:pPr>
      <w:r>
        <w:rPr>
          <w:rFonts w:hint="eastAsia" w:ascii="仿宋_GB2312" w:hAnsi="仿宋_GB2312" w:eastAsia="仿宋_GB2312" w:cs="仿宋_GB2312"/>
          <w:i w:val="0"/>
          <w:caps w:val="0"/>
          <w:color w:val="000000"/>
          <w:spacing w:val="0"/>
          <w:sz w:val="32"/>
          <w:szCs w:val="32"/>
          <w:shd w:val="clear" w:fill="FFFFFF"/>
        </w:rPr>
        <w:t>习近平强调，要搞好民族团结进步宣传教育，引导各族群众牢固树立正确的国家观、历史观、民族观、文化观、宗教观，增进各族群众对伟大祖国、中华民族、中华文化、中国共产党、中国特色社会主义的认同，促进各民族像石榴籽一样紧紧抱在一起。</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i w:val="0"/>
          <w:caps w:val="0"/>
          <w:color w:val="000000"/>
          <w:spacing w:val="0"/>
          <w:sz w:val="32"/>
          <w:szCs w:val="32"/>
          <w:shd w:val="clear" w:fill="FFFFFF"/>
        </w:rPr>
      </w:pPr>
      <w:r>
        <w:rPr>
          <w:rFonts w:hint="eastAsia" w:ascii="仿宋_GB2312" w:hAnsi="仿宋_GB2312" w:eastAsia="仿宋_GB2312" w:cs="仿宋_GB2312"/>
          <w:i w:val="0"/>
          <w:caps w:val="0"/>
          <w:color w:val="000000"/>
          <w:spacing w:val="0"/>
          <w:sz w:val="32"/>
          <w:szCs w:val="32"/>
          <w:shd w:val="clear" w:fill="FFFFFF"/>
        </w:rPr>
        <w:t>习近平指出，广西红色资源丰富，在党史学习教育中要用好这些红色资源，做到学史增信。学史增信，就是要增强信仰、信念、信心，这是我们战胜一切强敌、克服一切困难、夺取一切胜利的强大精神力量。要增强对马克思主义、共产主义的信仰，教育引导广大党员、干部从党百年奋斗中感悟信仰的力量，始终保持顽强意志，勇敢战胜各种重大困难和严峻挑战。要增强对中国特色社会主义的信念，教育引导广大党员、干部深刻认识到，中国特色社会主义是历史发展的必然结果，是发展中国的必由之路，是经过实践检验的科学真理，始终坚定道路自信、理论自信、制度自信、文化自信。要增强对实现中华民族伟大复兴的信心，教育引导广大党员、干部牢记初心使命、增强必胜信心，坚信我们党一定能够团结带领人民在中国特色社会主义道路上实现中华民族伟大复兴，努力创造属于我们这一代人、无愧新时代的历史功绩。信仰、信念、信心是最好的防腐剂。要始终抓好党风廉政建设，使不敢腐、不能腐、不想腐一体化推进有更多的制度性成果和更大的治理成效。</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i w:val="0"/>
          <w:caps w:val="0"/>
          <w:color w:val="000000"/>
          <w:spacing w:val="0"/>
          <w:sz w:val="32"/>
          <w:szCs w:val="32"/>
          <w:shd w:val="clear" w:fill="FFFFFF"/>
        </w:rPr>
      </w:pPr>
      <w:r>
        <w:rPr>
          <w:rFonts w:hint="eastAsia" w:ascii="仿宋_GB2312" w:hAnsi="仿宋_GB2312" w:eastAsia="仿宋_GB2312" w:cs="仿宋_GB2312"/>
          <w:i w:val="0"/>
          <w:caps w:val="0"/>
          <w:color w:val="000000"/>
          <w:spacing w:val="0"/>
          <w:sz w:val="32"/>
          <w:szCs w:val="32"/>
          <w:shd w:val="clear" w:fill="FFFFFF"/>
        </w:rPr>
        <w:t>丁薛祥、刘鹤、陈希、何立峰和中央有关部门负责同志陪同考察。</w:t>
      </w:r>
    </w:p>
    <w:p>
      <w:pPr>
        <w:rPr>
          <w:rFonts w:hint="eastAsia" w:ascii="仿宋_GB2312" w:hAnsi="仿宋_GB2312" w:eastAsia="仿宋_GB2312" w:cs="仿宋_GB2312"/>
          <w:i w:val="0"/>
          <w:caps w:val="0"/>
          <w:color w:val="000000"/>
          <w:spacing w:val="0"/>
          <w:sz w:val="32"/>
          <w:szCs w:val="32"/>
          <w:shd w:val="clear" w:fill="FFFFFF"/>
        </w:rPr>
      </w:pPr>
    </w:p>
    <w:p>
      <w:pPr>
        <w:ind w:firstLine="640" w:firstLineChars="200"/>
        <w:rPr>
          <w:rFonts w:hint="eastAsia" w:ascii="仿宋_GB2312" w:hAnsi="仿宋_GB2312" w:eastAsia="仿宋_GB2312" w:cs="仿宋_GB2312"/>
          <w:i w:val="0"/>
          <w:caps w:val="0"/>
          <w:color w:val="000000"/>
          <w:spacing w:val="0"/>
          <w:sz w:val="32"/>
          <w:szCs w:val="32"/>
          <w:shd w:val="clear" w:fill="FFFFFF"/>
        </w:rPr>
      </w:pPr>
    </w:p>
    <w:p>
      <w:pPr>
        <w:ind w:firstLine="640" w:firstLineChars="200"/>
        <w:rPr>
          <w:rFonts w:hint="eastAsia" w:ascii="仿宋_GB2312" w:hAnsi="仿宋_GB2312" w:eastAsia="仿宋_GB2312" w:cs="仿宋_GB2312"/>
          <w:i w:val="0"/>
          <w:caps w:val="0"/>
          <w:color w:val="000000"/>
          <w:spacing w:val="0"/>
          <w:sz w:val="32"/>
          <w:szCs w:val="32"/>
          <w:shd w:val="clear" w:fill="FFFFFF"/>
        </w:rPr>
      </w:pPr>
    </w:p>
    <w:p>
      <w:pPr>
        <w:ind w:firstLine="640" w:firstLineChars="200"/>
        <w:rPr>
          <w:rFonts w:hint="eastAsia" w:ascii="仿宋_GB2312" w:hAnsi="仿宋_GB2312" w:eastAsia="仿宋_GB2312" w:cs="仿宋_GB2312"/>
          <w:i w:val="0"/>
          <w:caps w:val="0"/>
          <w:color w:val="000000"/>
          <w:spacing w:val="0"/>
          <w:sz w:val="32"/>
          <w:szCs w:val="32"/>
          <w:shd w:val="clear" w:fill="FFFFFF"/>
        </w:rPr>
      </w:pPr>
    </w:p>
    <w:p>
      <w:pPr>
        <w:ind w:firstLine="640" w:firstLineChars="200"/>
        <w:rPr>
          <w:rFonts w:hint="eastAsia" w:ascii="仿宋_GB2312" w:hAnsi="仿宋_GB2312" w:eastAsia="仿宋_GB2312" w:cs="仿宋_GB2312"/>
          <w:i w:val="0"/>
          <w:caps w:val="0"/>
          <w:color w:val="000000"/>
          <w:spacing w:val="0"/>
          <w:sz w:val="32"/>
          <w:szCs w:val="32"/>
          <w:shd w:val="clear" w:fill="FFFFFF"/>
        </w:rPr>
      </w:pPr>
    </w:p>
    <w:p>
      <w:pPr>
        <w:ind w:firstLine="640" w:firstLineChars="200"/>
        <w:rPr>
          <w:rFonts w:hint="eastAsia" w:ascii="仿宋_GB2312" w:hAnsi="仿宋_GB2312" w:eastAsia="仿宋_GB2312" w:cs="仿宋_GB2312"/>
          <w:i w:val="0"/>
          <w:caps w:val="0"/>
          <w:color w:val="000000"/>
          <w:spacing w:val="0"/>
          <w:sz w:val="32"/>
          <w:szCs w:val="32"/>
          <w:shd w:val="clear" w:fill="FFFFFF"/>
        </w:rPr>
      </w:pPr>
    </w:p>
    <w:p>
      <w:pPr>
        <w:ind w:firstLine="640" w:firstLineChars="200"/>
        <w:rPr>
          <w:rFonts w:hint="eastAsia" w:ascii="仿宋_GB2312" w:hAnsi="仿宋_GB2312" w:eastAsia="仿宋_GB2312" w:cs="仿宋_GB2312"/>
          <w:i w:val="0"/>
          <w:caps w:val="0"/>
          <w:color w:val="000000"/>
          <w:spacing w:val="0"/>
          <w:sz w:val="32"/>
          <w:szCs w:val="32"/>
          <w:shd w:val="clear" w:fill="FFFFFF"/>
        </w:rPr>
      </w:pPr>
    </w:p>
    <w:p>
      <w:pPr>
        <w:ind w:firstLine="640" w:firstLineChars="200"/>
        <w:rPr>
          <w:rFonts w:hint="eastAsia" w:ascii="仿宋_GB2312" w:hAnsi="仿宋_GB2312" w:eastAsia="仿宋_GB2312" w:cs="仿宋_GB2312"/>
          <w:i w:val="0"/>
          <w:caps w:val="0"/>
          <w:color w:val="000000"/>
          <w:spacing w:val="0"/>
          <w:sz w:val="32"/>
          <w:szCs w:val="32"/>
          <w:shd w:val="clear" w:fill="FFFFFF"/>
        </w:rPr>
      </w:pPr>
    </w:p>
    <w:p>
      <w:pPr>
        <w:ind w:firstLine="640" w:firstLineChars="200"/>
        <w:rPr>
          <w:rFonts w:hint="eastAsia" w:ascii="仿宋_GB2312" w:hAnsi="仿宋_GB2312" w:eastAsia="仿宋_GB2312" w:cs="仿宋_GB2312"/>
          <w:i w:val="0"/>
          <w:caps w:val="0"/>
          <w:color w:val="000000"/>
          <w:spacing w:val="0"/>
          <w:sz w:val="32"/>
          <w:szCs w:val="32"/>
          <w:shd w:val="clear" w:fill="FFFFFF"/>
        </w:rPr>
      </w:pPr>
    </w:p>
    <w:p>
      <w:pPr>
        <w:ind w:firstLine="640" w:firstLineChars="200"/>
        <w:rPr>
          <w:rFonts w:hint="eastAsia" w:ascii="仿宋_GB2312" w:hAnsi="仿宋_GB2312" w:eastAsia="仿宋_GB2312" w:cs="仿宋_GB2312"/>
          <w:i w:val="0"/>
          <w:caps w:val="0"/>
          <w:color w:val="000000"/>
          <w:spacing w:val="0"/>
          <w:sz w:val="32"/>
          <w:szCs w:val="32"/>
          <w:shd w:val="clear" w:fill="FFFFFF"/>
        </w:rPr>
      </w:pPr>
    </w:p>
    <w:p>
      <w:pPr>
        <w:ind w:firstLine="640" w:firstLineChars="200"/>
        <w:rPr>
          <w:rFonts w:hint="eastAsia" w:ascii="仿宋_GB2312" w:hAnsi="仿宋_GB2312" w:eastAsia="仿宋_GB2312" w:cs="仿宋_GB2312"/>
          <w:i w:val="0"/>
          <w:caps w:val="0"/>
          <w:color w:val="000000"/>
          <w:spacing w:val="0"/>
          <w:sz w:val="32"/>
          <w:szCs w:val="32"/>
          <w:shd w:val="clear" w:fill="FFFFFF"/>
        </w:rPr>
      </w:pPr>
    </w:p>
    <w:p>
      <w:pPr>
        <w:ind w:firstLine="640" w:firstLineChars="200"/>
        <w:rPr>
          <w:rFonts w:hint="eastAsia" w:ascii="仿宋_GB2312" w:hAnsi="仿宋_GB2312" w:eastAsia="仿宋_GB2312" w:cs="仿宋_GB2312"/>
          <w:i w:val="0"/>
          <w:caps w:val="0"/>
          <w:color w:val="000000"/>
          <w:spacing w:val="0"/>
          <w:sz w:val="32"/>
          <w:szCs w:val="32"/>
          <w:shd w:val="clear" w:fill="FFFFFF"/>
        </w:rPr>
      </w:pPr>
    </w:p>
    <w:p>
      <w:pPr>
        <w:ind w:firstLine="640" w:firstLineChars="200"/>
        <w:rPr>
          <w:rFonts w:hint="eastAsia" w:ascii="仿宋_GB2312" w:hAnsi="仿宋_GB2312" w:eastAsia="仿宋_GB2312" w:cs="仿宋_GB2312"/>
          <w:i w:val="0"/>
          <w:caps w:val="0"/>
          <w:color w:val="000000"/>
          <w:spacing w:val="0"/>
          <w:sz w:val="32"/>
          <w:szCs w:val="32"/>
          <w:shd w:val="clear" w:fill="FFFFFF"/>
        </w:rPr>
      </w:pPr>
    </w:p>
    <w:p>
      <w:pPr>
        <w:ind w:firstLine="640" w:firstLineChars="200"/>
        <w:rPr>
          <w:rFonts w:hint="eastAsia" w:ascii="仿宋_GB2312" w:hAnsi="仿宋_GB2312" w:eastAsia="仿宋_GB2312" w:cs="仿宋_GB2312"/>
          <w:i w:val="0"/>
          <w:caps w:val="0"/>
          <w:color w:val="000000"/>
          <w:spacing w:val="0"/>
          <w:sz w:val="32"/>
          <w:szCs w:val="32"/>
          <w:shd w:val="clear" w:fill="FFFFFF"/>
        </w:rPr>
      </w:pPr>
    </w:p>
    <w:p>
      <w:pPr>
        <w:ind w:firstLine="640" w:firstLineChars="200"/>
        <w:rPr>
          <w:rFonts w:hint="eastAsia" w:ascii="仿宋_GB2312" w:hAnsi="仿宋_GB2312" w:eastAsia="仿宋_GB2312" w:cs="仿宋_GB2312"/>
          <w:i w:val="0"/>
          <w:caps w:val="0"/>
          <w:color w:val="000000"/>
          <w:spacing w:val="0"/>
          <w:sz w:val="32"/>
          <w:szCs w:val="32"/>
          <w:shd w:val="clear" w:fill="FFFFFF"/>
        </w:rPr>
      </w:pPr>
    </w:p>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700" w:lineRule="exact"/>
        <w:ind w:left="0" w:right="0" w:firstLine="0"/>
        <w:jc w:val="center"/>
        <w:textAlignment w:val="auto"/>
        <w:outlineLvl w:val="0"/>
        <w:rPr>
          <w:rFonts w:hint="eastAsia" w:ascii="方正小标宋简体" w:hAnsi="方正小标宋简体" w:eastAsia="方正小标宋简体" w:cs="方正小标宋简体"/>
          <w:b w:val="0"/>
          <w:bCs/>
          <w:color w:val="000000" w:themeColor="text1"/>
          <w:kern w:val="0"/>
          <w:sz w:val="30"/>
          <w:szCs w:val="30"/>
          <w:lang w:val="en-US" w:eastAsia="ja-JP" w:bidi="ar-SA"/>
          <w14:textFill>
            <w14:solidFill>
              <w14:schemeClr w14:val="tx1"/>
            </w14:solidFill>
          </w14:textFill>
        </w:rPr>
      </w:pPr>
      <w:bookmarkStart w:id="45" w:name="_Toc29766"/>
      <w:bookmarkStart w:id="46" w:name="_Toc7542"/>
      <w:r>
        <w:rPr>
          <w:rFonts w:hint="eastAsia" w:ascii="方正小标宋简体" w:hAnsi="方正小标宋简体" w:eastAsia="方正小标宋简体" w:cs="方正小标宋简体"/>
          <w:b w:val="0"/>
          <w:bCs/>
          <w:color w:val="000000" w:themeColor="text1"/>
          <w:kern w:val="0"/>
          <w:sz w:val="30"/>
          <w:szCs w:val="30"/>
          <w:lang w:val="en-US" w:eastAsia="ja-JP" w:bidi="ar-SA"/>
          <w14:textFill>
            <w14:solidFill>
              <w14:schemeClr w14:val="tx1"/>
            </w14:solidFill>
          </w14:textFill>
        </w:rPr>
        <w:t>习近平在清华大学考察时强调</w:t>
      </w:r>
      <w:bookmarkEnd w:id="45"/>
      <w:bookmarkEnd w:id="46"/>
    </w:p>
    <w:p>
      <w:pPr>
        <w:pStyle w:val="12"/>
        <w:keepNext w:val="0"/>
        <w:keepLines w:val="0"/>
        <w:pageBreakBefore w:val="0"/>
        <w:kinsoku/>
        <w:wordWrap/>
        <w:overflowPunct/>
        <w:topLinePunct w:val="0"/>
        <w:autoSpaceDE/>
        <w:autoSpaceDN/>
        <w:bidi w:val="0"/>
        <w:adjustRightInd/>
        <w:snapToGrid/>
        <w:spacing w:before="0" w:after="0" w:line="700" w:lineRule="exact"/>
        <w:textAlignment w:val="auto"/>
        <w:rPr>
          <w:rFonts w:hint="eastAsia" w:ascii="方正小标宋简体" w:hAnsi="方正小标宋简体" w:eastAsia="方正小标宋简体" w:cs="方正小标宋简体"/>
          <w:b w:val="0"/>
          <w:sz w:val="44"/>
          <w:szCs w:val="44"/>
        </w:rPr>
      </w:pPr>
      <w:bookmarkStart w:id="47" w:name="_Toc11856"/>
      <w:bookmarkStart w:id="48" w:name="_Toc6863"/>
      <w:bookmarkStart w:id="49" w:name="_Toc10552"/>
      <w:bookmarkStart w:id="50" w:name="_Toc22067"/>
      <w:bookmarkStart w:id="51" w:name="_Toc26152"/>
      <w:bookmarkStart w:id="52" w:name="_Toc22767"/>
      <w:r>
        <w:rPr>
          <w:rFonts w:hint="eastAsia" w:ascii="方正小标宋简体" w:hAnsi="方正小标宋简体" w:eastAsia="方正小标宋简体" w:cs="方正小标宋简体"/>
          <w:b w:val="0"/>
          <w:sz w:val="44"/>
          <w:szCs w:val="44"/>
        </w:rPr>
        <w:t>坚持中国特色世界一流大学建设目标方向 为服务国家富强民族复兴人民幸福贡献力量</w:t>
      </w:r>
      <w:bookmarkEnd w:id="47"/>
      <w:bookmarkEnd w:id="48"/>
      <w:bookmarkEnd w:id="49"/>
      <w:bookmarkEnd w:id="50"/>
      <w:bookmarkEnd w:id="51"/>
      <w:bookmarkEnd w:id="52"/>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700" w:lineRule="exact"/>
        <w:ind w:left="0" w:right="0" w:firstLine="0"/>
        <w:jc w:val="center"/>
        <w:textAlignment w:val="auto"/>
        <w:rPr>
          <w:rFonts w:hint="eastAsia" w:ascii="楷体_GB2312" w:hAnsi="楷体_GB2312" w:eastAsia="楷体_GB2312" w:cs="楷体_GB2312"/>
          <w:i w:val="0"/>
          <w:caps w:val="0"/>
          <w:color w:val="000000"/>
          <w:spacing w:val="0"/>
          <w:sz w:val="28"/>
          <w:szCs w:val="28"/>
        </w:rPr>
      </w:pPr>
      <w:r>
        <w:rPr>
          <w:rFonts w:hint="eastAsia" w:ascii="方正小标宋简体" w:hAnsi="方正小标宋简体" w:eastAsia="方正小标宋简体" w:cs="方正小标宋简体"/>
          <w:i w:val="0"/>
          <w:caps w:val="0"/>
          <w:color w:val="000000"/>
          <w:spacing w:val="0"/>
          <w:sz w:val="28"/>
          <w:szCs w:val="28"/>
          <w:shd w:val="clear" w:fill="FFFFFF"/>
        </w:rPr>
        <w:t>2021年04月20日</w:t>
      </w:r>
      <w:r>
        <w:rPr>
          <w:rFonts w:hint="eastAsia" w:ascii="方正小标宋简体" w:hAnsi="方正小标宋简体" w:eastAsia="方正小标宋简体" w:cs="方正小标宋简体"/>
          <w:i w:val="0"/>
          <w:caps w:val="0"/>
          <w:color w:val="000000"/>
          <w:spacing w:val="0"/>
          <w:sz w:val="28"/>
          <w:szCs w:val="28"/>
          <w:shd w:val="clear" w:fill="FFFFFF"/>
          <w:lang w:val="en-US" w:eastAsia="zh-CN"/>
        </w:rPr>
        <w:t xml:space="preserve">    </w:t>
      </w:r>
      <w:r>
        <w:rPr>
          <w:rFonts w:hint="eastAsia" w:ascii="方正小标宋简体" w:hAnsi="方正小标宋简体" w:eastAsia="方正小标宋简体" w:cs="方正小标宋简体"/>
          <w:i w:val="0"/>
          <w:caps w:val="0"/>
          <w:color w:val="000000"/>
          <w:spacing w:val="0"/>
          <w:sz w:val="28"/>
          <w:szCs w:val="28"/>
          <w:shd w:val="clear" w:fill="FFFFFF"/>
        </w:rPr>
        <w:t>  来源：</w:t>
      </w:r>
      <w:r>
        <w:rPr>
          <w:rFonts w:hint="eastAsia" w:ascii="方正小标宋简体" w:hAnsi="方正小标宋简体" w:eastAsia="方正小标宋简体" w:cs="方正小标宋简体"/>
          <w:i w:val="0"/>
          <w:caps w:val="0"/>
          <w:color w:val="000000"/>
          <w:spacing w:val="0"/>
          <w:sz w:val="28"/>
          <w:szCs w:val="28"/>
          <w:u w:val="none"/>
          <w:shd w:val="clear" w:fill="FFFFFF"/>
        </w:rPr>
        <w:fldChar w:fldCharType="begin"/>
      </w:r>
      <w:r>
        <w:rPr>
          <w:rFonts w:hint="eastAsia" w:ascii="方正小标宋简体" w:hAnsi="方正小标宋简体" w:eastAsia="方正小标宋简体" w:cs="方正小标宋简体"/>
          <w:i w:val="0"/>
          <w:caps w:val="0"/>
          <w:color w:val="000000"/>
          <w:spacing w:val="0"/>
          <w:sz w:val="28"/>
          <w:szCs w:val="28"/>
          <w:u w:val="none"/>
          <w:shd w:val="clear" w:fill="FFFFFF"/>
        </w:rPr>
        <w:instrText xml:space="preserve"> HYPERLINK "http://paper.people.com.cn/rmrb/html/2021-04/20/nw.D110000renmrb_20210420_1-01.htm" \t "http://cpc.people.com.cn/n1/2021/0420/_blank" </w:instrText>
      </w:r>
      <w:r>
        <w:rPr>
          <w:rFonts w:hint="eastAsia" w:ascii="方正小标宋简体" w:hAnsi="方正小标宋简体" w:eastAsia="方正小标宋简体" w:cs="方正小标宋简体"/>
          <w:i w:val="0"/>
          <w:caps w:val="0"/>
          <w:color w:val="000000"/>
          <w:spacing w:val="0"/>
          <w:sz w:val="28"/>
          <w:szCs w:val="28"/>
          <w:u w:val="none"/>
          <w:shd w:val="clear" w:fill="FFFFFF"/>
        </w:rPr>
        <w:fldChar w:fldCharType="separate"/>
      </w:r>
      <w:r>
        <w:rPr>
          <w:rStyle w:val="16"/>
          <w:rFonts w:hint="eastAsia" w:ascii="方正小标宋简体" w:hAnsi="方正小标宋简体" w:eastAsia="方正小标宋简体" w:cs="方正小标宋简体"/>
          <w:i w:val="0"/>
          <w:caps w:val="0"/>
          <w:color w:val="000000"/>
          <w:spacing w:val="0"/>
          <w:sz w:val="28"/>
          <w:szCs w:val="28"/>
          <w:u w:val="none"/>
          <w:shd w:val="clear" w:fill="FFFFFF"/>
        </w:rPr>
        <w:t>人民网－人民日报</w:t>
      </w:r>
      <w:r>
        <w:rPr>
          <w:rFonts w:hint="eastAsia" w:ascii="方正小标宋简体" w:hAnsi="方正小标宋简体" w:eastAsia="方正小标宋简体" w:cs="方正小标宋简体"/>
          <w:i w:val="0"/>
          <w:caps w:val="0"/>
          <w:color w:val="000000"/>
          <w:spacing w:val="0"/>
          <w:sz w:val="28"/>
          <w:szCs w:val="28"/>
          <w:u w:val="none"/>
          <w:shd w:val="clear" w:fill="FFFFFF"/>
        </w:rPr>
        <w:fldChar w:fldCharType="end"/>
      </w:r>
    </w:p>
    <w:p>
      <w:pPr>
        <w:widowControl/>
        <w:shd w:val="clear" w:color="auto" w:fill="FFFFFF"/>
        <w:spacing w:line="420" w:lineRule="atLeast"/>
        <w:jc w:val="center"/>
        <w:rPr>
          <w:rFonts w:hint="eastAsia" w:ascii="楷体_GB2312" w:hAnsi="楷体_GB2312" w:eastAsia="楷体_GB2312" w:cs="楷体_GB2312"/>
          <w:b/>
          <w:sz w:val="28"/>
          <w:szCs w:val="28"/>
        </w:rPr>
      </w:pP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600" w:lineRule="exact"/>
        <w:ind w:left="0" w:right="0" w:firstLine="640" w:firstLineChars="200"/>
        <w:jc w:val="left"/>
        <w:textAlignment w:val="auto"/>
        <w:rPr>
          <w:rFonts w:hint="eastAsia" w:ascii="仿宋_GB2312" w:hAnsi="仿宋_GB2312" w:eastAsia="仿宋_GB2312" w:cs="仿宋_GB2312"/>
          <w:caps w:val="0"/>
          <w:color w:val="000000"/>
          <w:spacing w:val="0"/>
          <w:sz w:val="32"/>
          <w:szCs w:val="32"/>
        </w:rPr>
      </w:pPr>
      <w:r>
        <w:rPr>
          <w:rFonts w:hint="eastAsia" w:ascii="仿宋_GB2312" w:hAnsi="仿宋_GB2312" w:eastAsia="仿宋_GB2312" w:cs="仿宋_GB2312"/>
          <w:caps w:val="0"/>
          <w:color w:val="000000"/>
          <w:spacing w:val="0"/>
          <w:sz w:val="32"/>
          <w:szCs w:val="32"/>
          <w:shd w:val="clear" w:fill="FFFFFF"/>
        </w:rPr>
        <w:t>百年大计，教育为本。今年是中国共产党成立100周年，我国开启了全面建设社会主义现代化国家新征程。党和国家事业发展对高等教育的需要，对科学知识和优秀人才的需要，比以往任何时候都更为迫切。我们要建设的世界一流大学是中国特色社会主义的一流大学，我国社会主义教育就是要培养德智体美劳全面发展的社会主义建设者和接班人。我国高等教育要立足中华民族伟大复兴战略全局和世界百年未有之大变局，心怀“国之大者”，把握大势，敢于担当，善于作为，为服务国家富强、民族复兴、人民幸福贡献力量。广大青年要肩负历史使命，坚定前进信心，立大志、明大德、成大才、担大任，努力成为堪当民族复兴重任的时代新人，让青春在为祖国、为民族、为人民、为人类的不懈奋斗中绽放绚丽之花</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600" w:lineRule="exact"/>
        <w:ind w:left="0" w:right="0" w:firstLine="0"/>
        <w:jc w:val="left"/>
        <w:textAlignment w:val="auto"/>
        <w:rPr>
          <w:rFonts w:hint="eastAsia" w:ascii="仿宋_GB2312" w:hAnsi="仿宋_GB2312" w:eastAsia="仿宋_GB2312" w:cs="仿宋_GB2312"/>
          <w:caps w:val="0"/>
          <w:color w:val="000000"/>
          <w:spacing w:val="0"/>
          <w:sz w:val="32"/>
          <w:szCs w:val="32"/>
        </w:rPr>
      </w:pPr>
      <w:r>
        <w:rPr>
          <w:rFonts w:hint="eastAsia" w:ascii="仿宋_GB2312" w:hAnsi="仿宋_GB2312" w:eastAsia="仿宋_GB2312" w:cs="仿宋_GB2312"/>
          <w:caps w:val="0"/>
          <w:color w:val="000000"/>
          <w:spacing w:val="0"/>
          <w:sz w:val="32"/>
          <w:szCs w:val="32"/>
          <w:shd w:val="clear" w:fill="FFFFFF"/>
        </w:rPr>
        <w:t>　　■一个国家的高等教育体系需要有一流大学群体的有力支撑，一流大学群体的水平和质量决定了高等教育体系的水平和质量。一流大学建设要坚持党的领导，坚持马克思主义指导地位，全面贯彻党的教育方针，坚持社会主义办学方向，抓住历史机遇，紧扣时代脉搏，立足新发展阶段、贯彻新发展理念、服务构建新发展格局，把发展科技第一生产力、培养人才第一资源、增强创新第一动力更好结合起来，更好为改革开放和社会主义现代化建设服务</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600" w:lineRule="exact"/>
        <w:ind w:left="0" w:right="0" w:firstLine="0"/>
        <w:jc w:val="left"/>
        <w:textAlignment w:val="auto"/>
        <w:rPr>
          <w:rFonts w:hint="eastAsia" w:ascii="仿宋_GB2312" w:hAnsi="仿宋_GB2312" w:eastAsia="仿宋_GB2312" w:cs="仿宋_GB2312"/>
          <w:caps w:val="0"/>
          <w:color w:val="000000"/>
          <w:spacing w:val="0"/>
          <w:sz w:val="32"/>
          <w:szCs w:val="32"/>
        </w:rPr>
      </w:pPr>
      <w:r>
        <w:rPr>
          <w:rFonts w:hint="eastAsia" w:ascii="仿宋_GB2312" w:hAnsi="仿宋_GB2312" w:eastAsia="仿宋_GB2312" w:cs="仿宋_GB2312"/>
          <w:caps w:val="0"/>
          <w:color w:val="000000"/>
          <w:spacing w:val="0"/>
          <w:sz w:val="32"/>
          <w:szCs w:val="32"/>
          <w:shd w:val="clear" w:fill="FFFFFF"/>
        </w:rPr>
        <w:t>　　■当代中国青年是与新时代同向同行、共同前进的一代，生逢盛世，肩负重任。广大青年要爱国爱民，从党史学习中激发信仰、获得启发、汲取力量，不断坚定“四个自信”，不断增强做中国人的志气、骨气、底气，树立为祖国为人民永久奋斗、赤诚奉献的坚定理想。要锤炼品德，自觉树立和践行社会主义核心价值观，自觉用中华优秀传统文化、革命文化、社会主义先进文化培根铸魂、启智润心，加强道德修养，明辨是非曲直，增强自我定力，矢志追求更有高度、更有境界、更有品位的人生。要勇于创新，深刻理解把握时代潮流和国家需要，敢为人先、敢于突破，以聪明才智贡献国家，以开拓进取服务社会。要实学实干，脚踏实地、埋头苦干，孜孜不倦、如饥似渴，在攀登知识高峰中追求卓越，在肩负时代重任时行胜于言，在真刀真枪的实干中成就一番事业</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600" w:lineRule="exact"/>
        <w:ind w:left="0" w:right="0" w:firstLine="0"/>
        <w:jc w:val="left"/>
        <w:textAlignment w:val="auto"/>
        <w:rPr>
          <w:rFonts w:hint="eastAsia" w:ascii="仿宋_GB2312" w:hAnsi="仿宋_GB2312" w:eastAsia="仿宋_GB2312" w:cs="仿宋_GB2312"/>
          <w:caps w:val="0"/>
          <w:color w:val="000000"/>
          <w:spacing w:val="0"/>
          <w:sz w:val="32"/>
          <w:szCs w:val="32"/>
        </w:rPr>
      </w:pPr>
      <w:r>
        <w:rPr>
          <w:rFonts w:hint="eastAsia" w:ascii="仿宋_GB2312" w:hAnsi="仿宋_GB2312" w:eastAsia="仿宋_GB2312" w:cs="仿宋_GB2312"/>
          <w:caps w:val="0"/>
          <w:color w:val="000000"/>
          <w:spacing w:val="0"/>
          <w:sz w:val="32"/>
          <w:szCs w:val="32"/>
          <w:shd w:val="clear" w:fill="FFFFFF"/>
        </w:rPr>
        <w:t>　　■教师是教育工作的中坚力量，没有高水平的师资队伍，就很难培养出高水平的创新人才，也很难产生高水平的创新成果。大学教师对学生承担着传授知识、培养能力、塑造正确人生观的职责。教师要成为大先生，做学生为学、为事、为人的示范，促进学生成长为全面发展的人。要研究真问题，着眼世界学术前沿和国家重大需求，致力于解决实际问题，善于学习新知识、新技术、新理论。要坚定信念，始终同党和人民站在一起，自觉做中国特色社会主义的坚定信仰者和忠实实践者</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600" w:lineRule="exact"/>
        <w:ind w:left="0" w:right="0" w:firstLine="0"/>
        <w:jc w:val="left"/>
        <w:textAlignment w:val="auto"/>
        <w:rPr>
          <w:rFonts w:hint="eastAsia" w:ascii="仿宋_GB2312" w:hAnsi="仿宋_GB2312" w:eastAsia="仿宋_GB2312" w:cs="仿宋_GB2312"/>
          <w:caps w:val="0"/>
          <w:color w:val="000000"/>
          <w:spacing w:val="0"/>
          <w:sz w:val="32"/>
          <w:szCs w:val="32"/>
        </w:rPr>
      </w:pPr>
      <w:r>
        <w:rPr>
          <w:rFonts w:hint="eastAsia" w:ascii="仿宋_GB2312" w:hAnsi="仿宋_GB2312" w:eastAsia="仿宋_GB2312" w:cs="仿宋_GB2312"/>
          <w:caps w:val="0"/>
          <w:color w:val="000000"/>
          <w:spacing w:val="0"/>
          <w:sz w:val="32"/>
          <w:szCs w:val="32"/>
          <w:shd w:val="clear" w:fill="FFFFFF"/>
        </w:rPr>
        <w:t>　　</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600" w:lineRule="exact"/>
        <w:ind w:left="0" w:right="0" w:firstLine="0"/>
        <w:jc w:val="left"/>
        <w:textAlignment w:val="auto"/>
        <w:rPr>
          <w:rFonts w:hint="eastAsia" w:ascii="仿宋_GB2312" w:hAnsi="仿宋_GB2312" w:eastAsia="仿宋_GB2312" w:cs="仿宋_GB2312"/>
          <w:caps w:val="0"/>
          <w:color w:val="000000"/>
          <w:spacing w:val="0"/>
          <w:sz w:val="32"/>
          <w:szCs w:val="32"/>
        </w:rPr>
      </w:pPr>
      <w:r>
        <w:rPr>
          <w:rFonts w:hint="eastAsia" w:ascii="仿宋_GB2312" w:hAnsi="仿宋_GB2312" w:eastAsia="仿宋_GB2312" w:cs="仿宋_GB2312"/>
          <w:caps w:val="0"/>
          <w:color w:val="000000"/>
          <w:spacing w:val="0"/>
          <w:sz w:val="32"/>
          <w:szCs w:val="32"/>
          <w:shd w:val="clear" w:fill="FFFFFF"/>
        </w:rPr>
        <w:t>　　新华社北京4月19日电  在清华大学建校110周年校庆日即将来临之际，中共中央总书记、国家主席、中央军委主席习近平来到清华大学考察。习近平代表党中央，向清华大学全体师生员工和海内外校友致以节日的祝贺，向全国广大青年学生致以诚挚的问候。</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600" w:lineRule="exact"/>
        <w:ind w:left="0" w:right="0" w:firstLine="0"/>
        <w:jc w:val="left"/>
        <w:textAlignment w:val="auto"/>
        <w:rPr>
          <w:rFonts w:hint="eastAsia" w:ascii="仿宋_GB2312" w:hAnsi="仿宋_GB2312" w:eastAsia="仿宋_GB2312" w:cs="仿宋_GB2312"/>
          <w:caps w:val="0"/>
          <w:color w:val="000000"/>
          <w:spacing w:val="0"/>
          <w:sz w:val="32"/>
          <w:szCs w:val="32"/>
        </w:rPr>
      </w:pPr>
      <w:r>
        <w:rPr>
          <w:rFonts w:hint="eastAsia" w:ascii="仿宋_GB2312" w:hAnsi="仿宋_GB2312" w:eastAsia="仿宋_GB2312" w:cs="仿宋_GB2312"/>
          <w:caps w:val="0"/>
          <w:color w:val="000000"/>
          <w:spacing w:val="0"/>
          <w:sz w:val="32"/>
          <w:szCs w:val="32"/>
          <w:shd w:val="clear" w:fill="FFFFFF"/>
        </w:rPr>
        <w:t>　　习近平强调，百年大计，教育为本。今年是中国共产党成立100周年，我国开启了全面建设社会主义现代化国家新征程。党和国家事业发展对高等教育的需要，对科学知识和优秀人才的需要，比以往任何时候都更为迫切。我们要建设的世界一流大学是中国特色社会主义的一流大学，我国社会主义教育就是要培养德智体美劳全面发展的社会主义建设者和接班人。我国高等教育要立足中华民族伟大复兴战略全局和世界百年未有之大变局，心怀“国之大者”，把握大势，敢于担当，善于作为，为服务国家富强、民族复兴、人民幸福贡献力量。广大青年要肩负历史使命，坚定前进信心，立大志、明大德、成大才、担大任，努力成为堪当民族复兴重任的时代新人，让青春在为祖国、为民族、为人民、为人类的不懈奋斗中绽放绚丽之花。</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600" w:lineRule="exact"/>
        <w:ind w:left="0" w:right="0" w:firstLine="0"/>
        <w:jc w:val="left"/>
        <w:textAlignment w:val="auto"/>
        <w:rPr>
          <w:rFonts w:hint="eastAsia" w:ascii="仿宋_GB2312" w:hAnsi="仿宋_GB2312" w:eastAsia="仿宋_GB2312" w:cs="仿宋_GB2312"/>
          <w:caps w:val="0"/>
          <w:color w:val="000000"/>
          <w:spacing w:val="0"/>
          <w:sz w:val="32"/>
          <w:szCs w:val="32"/>
        </w:rPr>
      </w:pPr>
      <w:r>
        <w:rPr>
          <w:rFonts w:hint="eastAsia" w:ascii="仿宋_GB2312" w:hAnsi="仿宋_GB2312" w:eastAsia="仿宋_GB2312" w:cs="仿宋_GB2312"/>
          <w:caps w:val="0"/>
          <w:color w:val="000000"/>
          <w:spacing w:val="0"/>
          <w:sz w:val="32"/>
          <w:szCs w:val="32"/>
          <w:shd w:val="clear" w:fill="FFFFFF"/>
        </w:rPr>
        <w:t>　　上午9时30分许，习近平在中共中央政治局常委、中央书记处书记王沪宁，清华大学党委书记陈旭、校长邱勇陪同下，首先来到美术学院，参观美术学院校庆特别展。美术展馆内，一块块展板图文并茂，一件件展品各具特色。习近平详细了解重大主题和国家形象设计作品创作、展示等情况介绍，仔细观看展品。习近平指出，美术、艺术、科学、技术相辅相成、相互促进、相得益彰。要发挥美术在服务经济社会发展中的重要作用，把更多美术元素、艺术元素应用到城乡规划建设中，增强城乡审美韵味、文化品位，把美术成果更好服务于人民群众的高品质生活需求。要增强文化自信，以美为媒，加强国际文化交流。</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600" w:lineRule="exact"/>
        <w:ind w:left="0" w:right="0" w:firstLine="0"/>
        <w:jc w:val="left"/>
        <w:textAlignment w:val="auto"/>
        <w:rPr>
          <w:rFonts w:hint="eastAsia" w:ascii="仿宋_GB2312" w:hAnsi="仿宋_GB2312" w:eastAsia="仿宋_GB2312" w:cs="仿宋_GB2312"/>
          <w:caps w:val="0"/>
          <w:color w:val="000000"/>
          <w:spacing w:val="0"/>
          <w:sz w:val="32"/>
          <w:szCs w:val="32"/>
        </w:rPr>
      </w:pPr>
      <w:r>
        <w:rPr>
          <w:rFonts w:hint="eastAsia" w:ascii="仿宋_GB2312" w:hAnsi="仿宋_GB2312" w:eastAsia="仿宋_GB2312" w:cs="仿宋_GB2312"/>
          <w:caps w:val="0"/>
          <w:color w:val="000000"/>
          <w:spacing w:val="0"/>
          <w:sz w:val="32"/>
          <w:szCs w:val="32"/>
          <w:shd w:val="clear" w:fill="FFFFFF"/>
        </w:rPr>
        <w:t>　　清华大学成像与智能技术实验室成立于2001年，主要开展计算摄像、脑科学与人工智能国际前沿交叉科学等基础理论与关键技术的研究。习近平来到这里，结合展板、电子屏幕察看实验室开展计算光学、脑科学与人工智能交叉科学实验研究和开发新科技应用场景情况，听取实验室理论研究、技术攻关、成果转化应用等情况介绍。习近平指出，中国教育是能够培养出大师来的。我们要有这个自信，开拓视野、兼收并蓄，扎扎实实把中国教育办好。重大原始创新成果往往萌发于深厚的基础研究，产生于学科交叉领域，大学在这两方面具有天然优势。要保持对基础研究的持续投入，鼓励自由探索，敢于质疑现有理论，勇于开拓新的方向。</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600" w:lineRule="exact"/>
        <w:ind w:left="0" w:right="0" w:firstLine="0"/>
        <w:jc w:val="left"/>
        <w:textAlignment w:val="auto"/>
        <w:rPr>
          <w:rFonts w:hint="eastAsia" w:ascii="仿宋_GB2312" w:hAnsi="仿宋_GB2312" w:eastAsia="仿宋_GB2312" w:cs="仿宋_GB2312"/>
          <w:caps w:val="0"/>
          <w:color w:val="000000"/>
          <w:spacing w:val="0"/>
          <w:sz w:val="32"/>
          <w:szCs w:val="32"/>
        </w:rPr>
      </w:pPr>
      <w:r>
        <w:rPr>
          <w:rFonts w:hint="eastAsia" w:ascii="仿宋_GB2312" w:hAnsi="仿宋_GB2312" w:eastAsia="仿宋_GB2312" w:cs="仿宋_GB2312"/>
          <w:caps w:val="0"/>
          <w:color w:val="000000"/>
          <w:spacing w:val="0"/>
          <w:sz w:val="32"/>
          <w:szCs w:val="32"/>
          <w:shd w:val="clear" w:fill="FFFFFF"/>
        </w:rPr>
        <w:t>　　清华大学主楼二层，展示了学校近年来重点教学科研成果。习近平听取了关于增强自主创新能力、助力世界主要科学中心和创新高地建设、提高人文社会学科教育研究水平等情况介绍，对清华大学取得的成绩给予充分肯定。习近平指出，要坚持中国特色社会主义教育发展道路，充分发挥科研优势，增强学科设置的针对性，加强基础研究，加大自主创新力度，并从我国改革发展实践中提出新观点、构建新理论，努力构建中国特色、中国风格、中国气派的学科体系、学术体系、话语体系。</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600" w:lineRule="exact"/>
        <w:ind w:left="0" w:right="0" w:firstLine="0"/>
        <w:jc w:val="left"/>
        <w:textAlignment w:val="auto"/>
        <w:rPr>
          <w:rFonts w:hint="eastAsia" w:ascii="仿宋_GB2312" w:hAnsi="仿宋_GB2312" w:eastAsia="仿宋_GB2312" w:cs="仿宋_GB2312"/>
          <w:caps w:val="0"/>
          <w:color w:val="000000"/>
          <w:spacing w:val="0"/>
          <w:sz w:val="32"/>
          <w:szCs w:val="32"/>
        </w:rPr>
      </w:pPr>
      <w:r>
        <w:rPr>
          <w:rFonts w:hint="eastAsia" w:ascii="仿宋_GB2312" w:hAnsi="仿宋_GB2312" w:eastAsia="仿宋_GB2312" w:cs="仿宋_GB2312"/>
          <w:caps w:val="0"/>
          <w:color w:val="000000"/>
          <w:spacing w:val="0"/>
          <w:sz w:val="32"/>
          <w:szCs w:val="32"/>
          <w:shd w:val="clear" w:fill="FFFFFF"/>
        </w:rPr>
        <w:t>　　在主楼二层大厅，习近平看望部分老教授、中青年骨干教师代表并同他们亲切交谈。习近平感谢在教学科研岗位上默默耕耘、辛勤奉献、作出突出贡献的老师们，向老教授们表示敬意，勉励中青年教师继续在教书育人和科研创新上不断有新进步。他强调，清华大学秉持自强不息、厚德载物的校训，深化改革、加快创新，各项事业欣欣向荣，科研创新成果与国家发展需要丝丝相扣，展现了清华人的勇毅和担当。面向未来，清华大学要坚持把立德树人作为根本任务，把服务国家作为最高追求，把学科建设作为发展根基，把深化改革作为强大动力，把加强党的建设作为坚强保证，不忘初心、牢记使命，为党育人、为国育才，为实现第二个百年奋斗目标、实现中华民族伟大复兴的中国梦、推动人类文明进步作出新的更大的贡献。</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600" w:lineRule="exact"/>
        <w:ind w:left="0" w:right="0" w:firstLine="0"/>
        <w:jc w:val="left"/>
        <w:textAlignment w:val="auto"/>
        <w:rPr>
          <w:rFonts w:hint="eastAsia" w:ascii="仿宋_GB2312" w:hAnsi="仿宋_GB2312" w:eastAsia="仿宋_GB2312" w:cs="仿宋_GB2312"/>
          <w:caps w:val="0"/>
          <w:color w:val="000000"/>
          <w:spacing w:val="0"/>
          <w:sz w:val="32"/>
          <w:szCs w:val="32"/>
        </w:rPr>
      </w:pPr>
      <w:r>
        <w:rPr>
          <w:rFonts w:hint="eastAsia" w:ascii="仿宋_GB2312" w:hAnsi="仿宋_GB2312" w:eastAsia="仿宋_GB2312" w:cs="仿宋_GB2312"/>
          <w:caps w:val="0"/>
          <w:color w:val="000000"/>
          <w:spacing w:val="0"/>
          <w:sz w:val="32"/>
          <w:szCs w:val="32"/>
          <w:shd w:val="clear" w:fill="FFFFFF"/>
        </w:rPr>
        <w:t>　　位于校园西北部的西体育馆，是清华早期四大建筑之一。在馆内篮球场，校篮球运动员正在进行训练。习近平走进体育馆，同他们亲切交谈，并在体育荣誉室察看历史照片、实物展览，了解体育馆保护利用、学校继承发扬优良传统、开展体育教育等情况。习近平表示，重视体育是清华大学的光荣传统，希望同学们发扬好清华大学的优良学风和体育传统，坚持德智体美劳全面发展，努力成为祖国建设的栋梁之才。</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600" w:lineRule="exact"/>
        <w:ind w:left="0" w:right="0" w:firstLine="0"/>
        <w:jc w:val="left"/>
        <w:textAlignment w:val="auto"/>
        <w:rPr>
          <w:rFonts w:hint="eastAsia" w:ascii="仿宋_GB2312" w:hAnsi="仿宋_GB2312" w:eastAsia="仿宋_GB2312" w:cs="仿宋_GB2312"/>
          <w:caps w:val="0"/>
          <w:color w:val="000000"/>
          <w:spacing w:val="0"/>
          <w:sz w:val="32"/>
          <w:szCs w:val="32"/>
        </w:rPr>
      </w:pPr>
      <w:r>
        <w:rPr>
          <w:rFonts w:hint="eastAsia" w:ascii="仿宋_GB2312" w:hAnsi="仿宋_GB2312" w:eastAsia="仿宋_GB2312" w:cs="仿宋_GB2312"/>
          <w:caps w:val="0"/>
          <w:color w:val="000000"/>
          <w:spacing w:val="0"/>
          <w:sz w:val="32"/>
          <w:szCs w:val="32"/>
          <w:shd w:val="clear" w:fill="FFFFFF"/>
        </w:rPr>
        <w:t>　　11时20分许，习近平来到清华大学西体育馆后馆，出席师生代表座谈会。清华大学党委书记陈旭、校长邱勇、土木系教师聂建国、公管学院教师梅赐琪、工物系应届博士毕业生孙启明、人文学院二年级本科生李润凤分别发言。习近平认真听取他们的发言，现场气氛轻松、热烈。</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600" w:lineRule="exact"/>
        <w:ind w:left="0" w:right="0" w:firstLine="0"/>
        <w:jc w:val="left"/>
        <w:textAlignment w:val="auto"/>
        <w:rPr>
          <w:rFonts w:hint="eastAsia" w:ascii="仿宋_GB2312" w:hAnsi="仿宋_GB2312" w:eastAsia="仿宋_GB2312" w:cs="仿宋_GB2312"/>
          <w:caps w:val="0"/>
          <w:color w:val="000000"/>
          <w:spacing w:val="0"/>
          <w:sz w:val="32"/>
          <w:szCs w:val="32"/>
        </w:rPr>
      </w:pPr>
      <w:r>
        <w:rPr>
          <w:rFonts w:hint="eastAsia" w:ascii="仿宋_GB2312" w:hAnsi="仿宋_GB2312" w:eastAsia="仿宋_GB2312" w:cs="仿宋_GB2312"/>
          <w:caps w:val="0"/>
          <w:color w:val="000000"/>
          <w:spacing w:val="0"/>
          <w:sz w:val="32"/>
          <w:szCs w:val="32"/>
          <w:shd w:val="clear" w:fill="FFFFFF"/>
        </w:rPr>
        <w:t>　　最后，习近平发表了重要讲话。他指出，清华大学诞生于国家和民族危难之际，成长于国家和民族奋进之中，发展于国家和民族振兴之时。110年来，清华大学深深扎根中国大地，培育了爱国奉献、追求卓越的光荣传统，形成了又红又专、全面发展的教书育人特色，为国家、为民族、为人民培养了大批可堪大任的杰出英才。这是一代代清华人拼搏奋斗、勇攀高峰、争创一流的结果。</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600" w:lineRule="exact"/>
        <w:ind w:left="0" w:right="0" w:firstLine="0"/>
        <w:jc w:val="left"/>
        <w:textAlignment w:val="auto"/>
        <w:rPr>
          <w:rFonts w:hint="eastAsia" w:ascii="仿宋_GB2312" w:hAnsi="仿宋_GB2312" w:eastAsia="仿宋_GB2312" w:cs="仿宋_GB2312"/>
          <w:caps w:val="0"/>
          <w:color w:val="000000"/>
          <w:spacing w:val="0"/>
          <w:sz w:val="32"/>
          <w:szCs w:val="32"/>
        </w:rPr>
      </w:pPr>
      <w:r>
        <w:rPr>
          <w:rFonts w:hint="eastAsia" w:ascii="仿宋_GB2312" w:hAnsi="仿宋_GB2312" w:eastAsia="仿宋_GB2312" w:cs="仿宋_GB2312"/>
          <w:caps w:val="0"/>
          <w:color w:val="000000"/>
          <w:spacing w:val="0"/>
          <w:sz w:val="32"/>
          <w:szCs w:val="32"/>
          <w:shd w:val="clear" w:fill="FFFFFF"/>
        </w:rPr>
        <w:t>　　习近平强调，清华大学的发展历程，是我国高等教育发展的一个生动缩影。新中国成立以来，我国高等教育走过了从小到大、从弱到强的极不平凡历程，办学规模、培养质量、服务能力实现历史性跃升。特别是党的十八大以来，我国高等教育与祖国共进、与时代同行，创造了举世瞩目的发展成就。</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600" w:lineRule="exact"/>
        <w:ind w:left="0" w:right="0" w:firstLine="0"/>
        <w:jc w:val="left"/>
        <w:textAlignment w:val="auto"/>
        <w:rPr>
          <w:rFonts w:hint="eastAsia" w:ascii="仿宋_GB2312" w:hAnsi="仿宋_GB2312" w:eastAsia="仿宋_GB2312" w:cs="仿宋_GB2312"/>
          <w:caps w:val="0"/>
          <w:color w:val="000000"/>
          <w:spacing w:val="0"/>
          <w:sz w:val="32"/>
          <w:szCs w:val="32"/>
        </w:rPr>
      </w:pPr>
      <w:r>
        <w:rPr>
          <w:rFonts w:hint="eastAsia" w:ascii="仿宋_GB2312" w:hAnsi="仿宋_GB2312" w:eastAsia="仿宋_GB2312" w:cs="仿宋_GB2312"/>
          <w:caps w:val="0"/>
          <w:color w:val="000000"/>
          <w:spacing w:val="0"/>
          <w:sz w:val="32"/>
          <w:szCs w:val="32"/>
          <w:shd w:val="clear" w:fill="FFFFFF"/>
        </w:rPr>
        <w:t>　　习近平指出，一个国家的高等教育体系需要有一流大学群体的有力支撑，一流大学群体的水平和质量决定了高等教育体系的水平和质量。一流大学建设要坚持党的领导，坚持马克思主义指导地位，全面贯彻党的教育方针，坚持社会主义办学方向，抓住历史机遇，紧扣时代脉搏，立足新发展阶段、贯彻新发展理念、服务构建新发展格局，把发展科技第一生产力、培养人才第一资源、增强创新第一动力更好结合起来，更好为改革开放和社会主义现代化建设服务。</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600" w:lineRule="exact"/>
        <w:ind w:left="0" w:right="0" w:firstLine="0"/>
        <w:jc w:val="left"/>
        <w:textAlignment w:val="auto"/>
        <w:rPr>
          <w:rFonts w:hint="eastAsia" w:ascii="仿宋_GB2312" w:hAnsi="仿宋_GB2312" w:eastAsia="仿宋_GB2312" w:cs="仿宋_GB2312"/>
          <w:caps w:val="0"/>
          <w:color w:val="000000"/>
          <w:spacing w:val="0"/>
          <w:sz w:val="32"/>
          <w:szCs w:val="32"/>
        </w:rPr>
      </w:pPr>
      <w:r>
        <w:rPr>
          <w:rFonts w:hint="eastAsia" w:ascii="仿宋_GB2312" w:hAnsi="仿宋_GB2312" w:eastAsia="仿宋_GB2312" w:cs="仿宋_GB2312"/>
          <w:caps w:val="0"/>
          <w:color w:val="000000"/>
          <w:spacing w:val="0"/>
          <w:sz w:val="32"/>
          <w:szCs w:val="32"/>
          <w:shd w:val="clear" w:fill="FFFFFF"/>
        </w:rPr>
        <w:t>　　习近平强调，追求一流是一个永无止境、不断超越的过程，要明确方向、突出重点。要培养一流人才方阵。建设一流大学，关键是要不断提高人才培养质量。要想国家之所想、急国家之所急、应国家之所需，抓住全面提高人才培养能力这个重点，坚持把立德树人作为根本任务，着力培养担当民族复兴大任的时代新人。要构建一流大学体系。高等教育体系是一个有机整体，其内部各部分具有内在的相互依存关系。要用好学科交叉融合的“催化剂”，加强基础学科培养能力，打破学科专业壁垒，对现有学科专业体系进行调整升级，瞄准科技前沿和关键领域，推进新工科、新医科、新农科、新文科建设，加快培养紧缺人才。要提升原始创新能力。一流大学是基础研究的主力军和重大科技突破的策源地，要完善以健康学术生态为基础、以有效学术治理为保障、以产生一流学术成果和培养一流人才为目标的大学创新体系，勇于攻克“卡脖子”的关键核心技术，加强产学研深度融合，促进科技成果转化。要坚持开放合作。加强国际交流合作，主动搭建中外教育文化友好交往的合作平台，共同应对全球性挑战，促进人类共同福祉。</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600" w:lineRule="exact"/>
        <w:ind w:left="0" w:right="0" w:firstLine="0"/>
        <w:jc w:val="left"/>
        <w:textAlignment w:val="auto"/>
        <w:rPr>
          <w:rFonts w:hint="eastAsia" w:ascii="仿宋_GB2312" w:hAnsi="仿宋_GB2312" w:eastAsia="仿宋_GB2312" w:cs="仿宋_GB2312"/>
          <w:caps w:val="0"/>
          <w:color w:val="000000"/>
          <w:spacing w:val="0"/>
          <w:sz w:val="32"/>
          <w:szCs w:val="32"/>
        </w:rPr>
      </w:pPr>
      <w:r>
        <w:rPr>
          <w:rFonts w:hint="eastAsia" w:ascii="仿宋_GB2312" w:hAnsi="仿宋_GB2312" w:eastAsia="仿宋_GB2312" w:cs="仿宋_GB2312"/>
          <w:caps w:val="0"/>
          <w:color w:val="000000"/>
          <w:spacing w:val="0"/>
          <w:sz w:val="32"/>
          <w:szCs w:val="32"/>
          <w:shd w:val="clear" w:fill="FFFFFF"/>
        </w:rPr>
        <w:t>　　习近平指出，当代中国青年是与新时代同向同行、共同前进的一代，生逢盛世，肩负重任。广大青年要爱国爱民，从党史学习中激发信仰、获得启发、汲取力量，不断坚定“四个自信”，不断增强做中国人的志气、骨气、底气，树立为祖国为人民永久奋斗、赤诚奉献的坚定理想。要锤炼品德，自觉树立和践行社会主义核心价值观，自觉用中华优秀传统文化、革命文化、社会主义先进文化培根铸魂、启智润心，加强道德修养，明辨是非曲直，增强自我定力，矢志追求更有高度、更有境界、更有品位的人生。要勇于创新，深刻理解把握时代潮流和国家需要，敢为人先、敢于突破，以聪明才智贡献国家，以开拓进取服务社会。要实学实干，脚踏实地、埋头苦干，孜孜不倦、如饥似渴，在攀登知识高峰中追求卓越，在肩负时代重任时行胜于言，在真刀真枪的实干中成就一番事业。</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600" w:lineRule="exact"/>
        <w:ind w:left="0" w:right="0" w:firstLine="0"/>
        <w:jc w:val="left"/>
        <w:textAlignment w:val="auto"/>
        <w:rPr>
          <w:rFonts w:hint="eastAsia" w:ascii="仿宋_GB2312" w:hAnsi="仿宋_GB2312" w:eastAsia="仿宋_GB2312" w:cs="仿宋_GB2312"/>
          <w:caps w:val="0"/>
          <w:color w:val="000000"/>
          <w:spacing w:val="0"/>
          <w:sz w:val="32"/>
          <w:szCs w:val="32"/>
        </w:rPr>
      </w:pPr>
      <w:r>
        <w:rPr>
          <w:rFonts w:hint="eastAsia" w:ascii="仿宋_GB2312" w:hAnsi="仿宋_GB2312" w:eastAsia="仿宋_GB2312" w:cs="仿宋_GB2312"/>
          <w:caps w:val="0"/>
          <w:color w:val="000000"/>
          <w:spacing w:val="0"/>
          <w:sz w:val="32"/>
          <w:szCs w:val="32"/>
          <w:shd w:val="clear" w:fill="FFFFFF"/>
        </w:rPr>
        <w:t>　　习近平强调，教师是教育工作的中坚力量，没有高水平的师资队伍，就很难培养出高水平的创新人才，也很难产生高水平的创新成果。大学教师对学生承担着传授知识、培养能力、塑造正确人生观的职责。教师要成为大先生，做学生为学、为事、为人的示范，促进学生成长为全面发展的人。要研究真问题，着眼世界学术前沿和国家重大需求，致力于解决实际问题，善于学习新知识、新技术、新理论。要坚定信念，始终同党和人民站在一起，自觉做中国特色社会主义的坚定信仰者和忠实实践者。</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600" w:lineRule="exact"/>
        <w:ind w:left="0" w:right="0" w:firstLine="0"/>
        <w:jc w:val="left"/>
        <w:textAlignment w:val="auto"/>
        <w:rPr>
          <w:rFonts w:hint="eastAsia" w:ascii="仿宋_GB2312" w:hAnsi="仿宋_GB2312" w:eastAsia="仿宋_GB2312" w:cs="仿宋_GB2312"/>
          <w:caps w:val="0"/>
          <w:color w:val="000000"/>
          <w:spacing w:val="0"/>
          <w:sz w:val="32"/>
          <w:szCs w:val="32"/>
        </w:rPr>
      </w:pPr>
      <w:r>
        <w:rPr>
          <w:rFonts w:hint="eastAsia" w:ascii="仿宋_GB2312" w:hAnsi="仿宋_GB2312" w:eastAsia="仿宋_GB2312" w:cs="仿宋_GB2312"/>
          <w:caps w:val="0"/>
          <w:color w:val="000000"/>
          <w:spacing w:val="0"/>
          <w:sz w:val="32"/>
          <w:szCs w:val="32"/>
          <w:shd w:val="clear" w:fill="FFFFFF"/>
        </w:rPr>
        <w:t>　　习近平离开学校时，操场上、道路旁站满了师生，大家纷纷向总书记问好，齐声高喊“总书记好”、“学长好”，高呼“祖国万岁”、“清华加油”，习近平满怀深情地同大家挥手致意，掌声、问候声在校园里久久回荡。</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600" w:lineRule="exact"/>
        <w:ind w:left="0" w:right="0" w:firstLine="0"/>
        <w:jc w:val="left"/>
        <w:textAlignment w:val="auto"/>
        <w:rPr>
          <w:rFonts w:hint="eastAsia" w:ascii="仿宋_GB2312" w:hAnsi="仿宋_GB2312" w:eastAsia="仿宋_GB2312" w:cs="仿宋_GB2312"/>
          <w:caps w:val="0"/>
          <w:color w:val="000000"/>
          <w:spacing w:val="0"/>
          <w:sz w:val="32"/>
          <w:szCs w:val="32"/>
        </w:rPr>
      </w:pPr>
      <w:r>
        <w:rPr>
          <w:rFonts w:hint="eastAsia" w:ascii="仿宋_GB2312" w:hAnsi="仿宋_GB2312" w:eastAsia="仿宋_GB2312" w:cs="仿宋_GB2312"/>
          <w:caps w:val="0"/>
          <w:color w:val="000000"/>
          <w:spacing w:val="0"/>
          <w:sz w:val="32"/>
          <w:szCs w:val="32"/>
          <w:shd w:val="clear" w:fill="FFFFFF"/>
        </w:rPr>
        <w:t>　　丁薛祥、孙春兰、陈希、蔡奇及中央和国家机关有关部门负责同志参加有关活动。</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600" w:lineRule="exact"/>
        <w:ind w:left="0" w:right="0" w:firstLine="0"/>
        <w:jc w:val="left"/>
        <w:textAlignment w:val="auto"/>
        <w:rPr>
          <w:rFonts w:hint="eastAsia" w:ascii="仿宋_GB2312" w:hAnsi="仿宋_GB2312" w:eastAsia="仿宋_GB2312" w:cs="仿宋_GB2312"/>
          <w:caps w:val="0"/>
          <w:color w:val="000000"/>
          <w:spacing w:val="0"/>
          <w:sz w:val="32"/>
          <w:szCs w:val="32"/>
        </w:rPr>
      </w:pPr>
      <w:r>
        <w:rPr>
          <w:rFonts w:hint="eastAsia" w:ascii="仿宋_GB2312" w:hAnsi="仿宋_GB2312" w:eastAsia="仿宋_GB2312" w:cs="仿宋_GB2312"/>
          <w:caps w:val="0"/>
          <w:color w:val="000000"/>
          <w:spacing w:val="0"/>
          <w:sz w:val="32"/>
          <w:szCs w:val="32"/>
          <w:shd w:val="clear" w:fill="FFFFFF"/>
        </w:rPr>
        <w:t>　　《 人民日报 》（ 2021年04月20日 01 版）</w:t>
      </w:r>
    </w:p>
    <w:p>
      <w:pPr>
        <w:keepNext w:val="0"/>
        <w:keepLines w:val="0"/>
        <w:pageBreakBefore w:val="0"/>
        <w:widowControl/>
        <w:shd w:val="clear" w:color="auto" w:fill="FFFFFF"/>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b/>
          <w:sz w:val="32"/>
          <w:szCs w:val="32"/>
        </w:rPr>
      </w:pPr>
    </w:p>
    <w:p>
      <w:pPr>
        <w:widowControl/>
        <w:shd w:val="clear" w:color="auto" w:fill="FFFFFF"/>
        <w:spacing w:line="420" w:lineRule="atLeast"/>
        <w:jc w:val="center"/>
        <w:rPr>
          <w:rFonts w:hint="eastAsia" w:ascii="方正小标宋简体" w:hAnsi="方正小标宋简体" w:eastAsia="方正小标宋简体" w:cs="方正小标宋简体"/>
          <w:b/>
          <w:sz w:val="48"/>
          <w:szCs w:val="44"/>
        </w:rPr>
      </w:pPr>
    </w:p>
    <w:p>
      <w:pPr>
        <w:widowControl/>
        <w:shd w:val="clear" w:color="auto" w:fill="FFFFFF"/>
        <w:spacing w:line="420" w:lineRule="atLeast"/>
        <w:jc w:val="center"/>
        <w:rPr>
          <w:rFonts w:hint="eastAsia" w:ascii="方正小标宋简体" w:hAnsi="方正小标宋简体" w:eastAsia="方正小标宋简体" w:cs="方正小标宋简体"/>
          <w:b/>
          <w:sz w:val="48"/>
          <w:szCs w:val="44"/>
        </w:rPr>
      </w:pPr>
    </w:p>
    <w:p>
      <w:pPr>
        <w:widowControl/>
        <w:shd w:val="clear" w:color="auto" w:fill="FFFFFF"/>
        <w:spacing w:line="420" w:lineRule="atLeast"/>
        <w:jc w:val="center"/>
        <w:rPr>
          <w:rFonts w:hint="eastAsia" w:ascii="方正小标宋简体" w:hAnsi="方正小标宋简体" w:eastAsia="方正小标宋简体" w:cs="方正小标宋简体"/>
          <w:b/>
          <w:sz w:val="48"/>
          <w:szCs w:val="44"/>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700" w:lineRule="exact"/>
        <w:ind w:left="0" w:right="0" w:firstLine="0"/>
        <w:jc w:val="center"/>
        <w:textAlignment w:val="auto"/>
        <w:outlineLvl w:val="0"/>
        <w:rPr>
          <w:rFonts w:hint="eastAsia" w:ascii="方正小标宋简体" w:hAnsi="方正小标宋简体" w:eastAsia="方正小标宋简体" w:cs="方正小标宋简体"/>
          <w:b w:val="0"/>
          <w:bCs/>
          <w:i w:val="0"/>
          <w:caps w:val="0"/>
          <w:color w:val="000000"/>
          <w:spacing w:val="0"/>
          <w:sz w:val="44"/>
          <w:szCs w:val="44"/>
        </w:rPr>
      </w:pPr>
      <w:bookmarkStart w:id="53" w:name="_Toc31093"/>
      <w:bookmarkStart w:id="54" w:name="_Toc8578"/>
      <w:r>
        <w:rPr>
          <w:rFonts w:hint="eastAsia" w:ascii="方正小标宋简体" w:hAnsi="方正小标宋简体" w:eastAsia="方正小标宋简体" w:cs="方正小标宋简体"/>
          <w:b w:val="0"/>
          <w:bCs/>
          <w:i w:val="0"/>
          <w:caps w:val="0"/>
          <w:color w:val="000000"/>
          <w:spacing w:val="0"/>
          <w:sz w:val="44"/>
          <w:szCs w:val="44"/>
          <w:shd w:val="clear" w:fill="FFFFFF"/>
        </w:rPr>
        <w:t>习近平在博鳌亚洲论坛2021年年会开幕式上发表主旨演讲</w:t>
      </w:r>
      <w:bookmarkEnd w:id="53"/>
      <w:bookmarkEnd w:id="54"/>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700" w:lineRule="exact"/>
        <w:ind w:left="0" w:right="0" w:firstLine="0"/>
        <w:jc w:val="center"/>
        <w:textAlignment w:val="auto"/>
        <w:rPr>
          <w:rFonts w:hint="eastAsia" w:ascii="方正小标宋简体" w:hAnsi="方正小标宋简体" w:eastAsia="方正小标宋简体" w:cs="方正小标宋简体"/>
          <w:b w:val="0"/>
          <w:bCs/>
          <w:i w:val="0"/>
          <w:caps w:val="0"/>
          <w:color w:val="000000"/>
          <w:spacing w:val="0"/>
          <w:sz w:val="28"/>
          <w:szCs w:val="28"/>
        </w:rPr>
      </w:pPr>
      <w:bookmarkStart w:id="55" w:name="_Toc21231"/>
      <w:bookmarkStart w:id="56" w:name="_Toc18663"/>
      <w:bookmarkStart w:id="57" w:name="_Toc4766"/>
      <w:bookmarkStart w:id="58" w:name="_Toc19246"/>
      <w:bookmarkStart w:id="59" w:name="_Toc32405"/>
      <w:bookmarkStart w:id="60" w:name="_Toc18246"/>
      <w:bookmarkStart w:id="61" w:name="_Toc25723"/>
      <w:r>
        <w:rPr>
          <w:rFonts w:hint="eastAsia" w:ascii="方正小标宋简体" w:hAnsi="方正小标宋简体" w:eastAsia="方正小标宋简体" w:cs="方正小标宋简体"/>
          <w:b w:val="0"/>
          <w:bCs/>
          <w:i w:val="0"/>
          <w:caps w:val="0"/>
          <w:color w:val="000000"/>
          <w:spacing w:val="0"/>
          <w:sz w:val="28"/>
          <w:szCs w:val="28"/>
          <w:shd w:val="clear" w:fill="FFFFFF"/>
        </w:rPr>
        <w:t>倡议亚洲和世界各国回应时代呼唤，携手共克疫情，加强全球治理，高质量共建“一带一路”，朝着构建人类命运共同体方向不断迈进</w:t>
      </w:r>
      <w:bookmarkEnd w:id="55"/>
      <w:bookmarkEnd w:id="56"/>
      <w:bookmarkEnd w:id="57"/>
      <w:bookmarkEnd w:id="58"/>
      <w:bookmarkEnd w:id="59"/>
      <w:bookmarkEnd w:id="60"/>
      <w:bookmarkEnd w:id="61"/>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700" w:lineRule="exact"/>
        <w:ind w:left="0" w:right="0" w:firstLine="0"/>
        <w:jc w:val="center"/>
        <w:textAlignment w:val="auto"/>
        <w:rPr>
          <w:rFonts w:hint="eastAsia" w:ascii="楷体_GB2312" w:hAnsi="楷体_GB2312" w:eastAsia="楷体_GB2312" w:cs="楷体_GB2312"/>
          <w:i w:val="0"/>
          <w:caps w:val="0"/>
          <w:color w:val="000000"/>
          <w:spacing w:val="0"/>
          <w:sz w:val="28"/>
          <w:szCs w:val="28"/>
        </w:rPr>
      </w:pPr>
      <w:r>
        <w:rPr>
          <w:rFonts w:hint="eastAsia" w:ascii="楷体_GB2312" w:hAnsi="楷体_GB2312" w:eastAsia="楷体_GB2312" w:cs="楷体_GB2312"/>
          <w:i w:val="0"/>
          <w:caps w:val="0"/>
          <w:color w:val="000000"/>
          <w:spacing w:val="0"/>
          <w:sz w:val="28"/>
          <w:szCs w:val="28"/>
          <w:shd w:val="clear" w:fill="FFFFFF"/>
        </w:rPr>
        <w:t>2021年04月21日    来源：</w:t>
      </w:r>
      <w:r>
        <w:rPr>
          <w:rFonts w:hint="eastAsia" w:ascii="楷体_GB2312" w:hAnsi="楷体_GB2312" w:eastAsia="楷体_GB2312" w:cs="楷体_GB2312"/>
          <w:i w:val="0"/>
          <w:caps w:val="0"/>
          <w:color w:val="000000"/>
          <w:spacing w:val="0"/>
          <w:sz w:val="28"/>
          <w:szCs w:val="28"/>
          <w:u w:val="none"/>
          <w:shd w:val="clear" w:fill="FFFFFF"/>
        </w:rPr>
        <w:fldChar w:fldCharType="begin"/>
      </w:r>
      <w:r>
        <w:rPr>
          <w:rFonts w:hint="eastAsia" w:ascii="楷体_GB2312" w:hAnsi="楷体_GB2312" w:eastAsia="楷体_GB2312" w:cs="楷体_GB2312"/>
          <w:i w:val="0"/>
          <w:caps w:val="0"/>
          <w:color w:val="000000"/>
          <w:spacing w:val="0"/>
          <w:sz w:val="28"/>
          <w:szCs w:val="28"/>
          <w:u w:val="none"/>
          <w:shd w:val="clear" w:fill="FFFFFF"/>
        </w:rPr>
        <w:instrText xml:space="preserve"> HYPERLINK "http://paper.people.com.cn/rmrb/html/2021-04/21/nw.D110000renmrb_20210421_1-01.htm" \t "http://cpc.people.com.cn/n1/2021/0421/_blank" </w:instrText>
      </w:r>
      <w:r>
        <w:rPr>
          <w:rFonts w:hint="eastAsia" w:ascii="楷体_GB2312" w:hAnsi="楷体_GB2312" w:eastAsia="楷体_GB2312" w:cs="楷体_GB2312"/>
          <w:i w:val="0"/>
          <w:caps w:val="0"/>
          <w:color w:val="000000"/>
          <w:spacing w:val="0"/>
          <w:sz w:val="28"/>
          <w:szCs w:val="28"/>
          <w:u w:val="none"/>
          <w:shd w:val="clear" w:fill="FFFFFF"/>
        </w:rPr>
        <w:fldChar w:fldCharType="separate"/>
      </w:r>
      <w:r>
        <w:rPr>
          <w:rStyle w:val="16"/>
          <w:rFonts w:hint="eastAsia" w:ascii="楷体_GB2312" w:hAnsi="楷体_GB2312" w:eastAsia="楷体_GB2312" w:cs="楷体_GB2312"/>
          <w:i w:val="0"/>
          <w:caps w:val="0"/>
          <w:color w:val="000000"/>
          <w:spacing w:val="0"/>
          <w:sz w:val="28"/>
          <w:szCs w:val="28"/>
          <w:u w:val="none"/>
          <w:shd w:val="clear" w:fill="FFFFFF"/>
        </w:rPr>
        <w:t>人民网－人民日报</w:t>
      </w:r>
      <w:r>
        <w:rPr>
          <w:rFonts w:hint="eastAsia" w:ascii="楷体_GB2312" w:hAnsi="楷体_GB2312" w:eastAsia="楷体_GB2312" w:cs="楷体_GB2312"/>
          <w:i w:val="0"/>
          <w:caps w:val="0"/>
          <w:color w:val="000000"/>
          <w:spacing w:val="0"/>
          <w:sz w:val="28"/>
          <w:szCs w:val="28"/>
          <w:u w:val="none"/>
          <w:shd w:val="clear" w:fill="FFFFFF"/>
        </w:rPr>
        <w:fldChar w:fldCharType="end"/>
      </w:r>
    </w:p>
    <w:p>
      <w:pPr>
        <w:widowControl/>
        <w:shd w:val="clear" w:color="auto" w:fill="FFFFFF"/>
        <w:spacing w:line="420" w:lineRule="atLeast"/>
        <w:jc w:val="center"/>
        <w:rPr>
          <w:rFonts w:hint="eastAsia" w:ascii="楷体_GB2312" w:hAnsi="楷体_GB2312" w:eastAsia="楷体_GB2312" w:cs="楷体_GB2312"/>
          <w:b/>
          <w:sz w:val="28"/>
          <w:szCs w:val="28"/>
        </w:rPr>
      </w:pP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600" w:lineRule="exact"/>
        <w:ind w:left="0" w:right="0" w:firstLine="0"/>
        <w:jc w:val="left"/>
        <w:textAlignment w:val="auto"/>
        <w:rPr>
          <w:rFonts w:hint="eastAsia" w:ascii="仿宋_GB2312" w:hAnsi="仿宋_GB2312" w:eastAsia="仿宋_GB2312" w:cs="仿宋_GB2312"/>
          <w:caps w:val="0"/>
          <w:color w:val="000000"/>
          <w:spacing w:val="0"/>
          <w:sz w:val="32"/>
          <w:szCs w:val="32"/>
        </w:rPr>
      </w:pPr>
      <w:r>
        <w:rPr>
          <w:rFonts w:hint="eastAsia" w:ascii="仿宋_GB2312" w:hAnsi="仿宋_GB2312" w:eastAsia="仿宋_GB2312" w:cs="仿宋_GB2312"/>
          <w:caps w:val="0"/>
          <w:color w:val="000000"/>
          <w:spacing w:val="0"/>
          <w:sz w:val="32"/>
          <w:szCs w:val="32"/>
          <w:shd w:val="clear" w:fill="FFFFFF"/>
        </w:rPr>
        <w:t>　</w:t>
      </w:r>
      <w:r>
        <w:rPr>
          <w:rFonts w:hint="eastAsia" w:ascii="仿宋_GB2312" w:hAnsi="仿宋_GB2312" w:eastAsia="仿宋_GB2312" w:cs="仿宋_GB2312"/>
          <w:caps w:val="0"/>
          <w:color w:val="000000"/>
          <w:spacing w:val="0"/>
          <w:sz w:val="32"/>
          <w:szCs w:val="32"/>
          <w:shd w:val="clear" w:fill="FFFFFF"/>
          <w:lang w:val="en-US" w:eastAsia="zh-CN"/>
        </w:rPr>
        <w:t xml:space="preserve">  摘要：</w:t>
      </w:r>
      <w:r>
        <w:rPr>
          <w:rFonts w:hint="eastAsia" w:ascii="仿宋_GB2312" w:hAnsi="仿宋_GB2312" w:eastAsia="仿宋_GB2312" w:cs="仿宋_GB2312"/>
          <w:caps w:val="0"/>
          <w:color w:val="000000"/>
          <w:spacing w:val="0"/>
          <w:sz w:val="32"/>
          <w:szCs w:val="32"/>
          <w:shd w:val="clear" w:fill="FFFFFF"/>
        </w:rPr>
        <w:t>■博鳌亚洲论坛成立20年来，见证了中国、亚洲、世界走过的不平凡历程，为促进亚洲和世界发展发挥了重要影响力、推动力。当前，百年变局和世纪疫情交织叠加，世界进入动荡变革期。我们所处的是一个充满挑战的时代，也是一个充满希望的时代。人类社会应该向何处去？我们应该为子孙后代创造一个什么样的未来？对这一重大命题，我们要从人类共同利益出发，以负责任态度作出明智选择。中方倡议，亚洲和世界各国要回应时代呼唤，携手共克疫情，加强全球治理，朝着构建人类命运共同体方向不断迈进</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600" w:lineRule="exact"/>
        <w:ind w:left="0" w:right="0" w:firstLine="0"/>
        <w:jc w:val="left"/>
        <w:textAlignment w:val="auto"/>
        <w:rPr>
          <w:rFonts w:hint="eastAsia" w:ascii="仿宋_GB2312" w:hAnsi="仿宋_GB2312" w:eastAsia="仿宋_GB2312" w:cs="仿宋_GB2312"/>
          <w:caps w:val="0"/>
          <w:color w:val="000000"/>
          <w:spacing w:val="0"/>
          <w:sz w:val="32"/>
          <w:szCs w:val="32"/>
        </w:rPr>
      </w:pPr>
      <w:r>
        <w:rPr>
          <w:rFonts w:hint="eastAsia" w:ascii="仿宋_GB2312" w:hAnsi="仿宋_GB2312" w:eastAsia="仿宋_GB2312" w:cs="仿宋_GB2312"/>
          <w:caps w:val="0"/>
          <w:color w:val="000000"/>
          <w:spacing w:val="0"/>
          <w:sz w:val="32"/>
          <w:szCs w:val="32"/>
          <w:shd w:val="clear" w:fill="FFFFFF"/>
        </w:rPr>
        <w:t>　　■我们要平等协商，开创共赢共享的未来。我们要开放创新，开创发展繁荣的未来。我们要同舟共济，开创健康安全的未来。我们要坚守正义，开创互尊互鉴的未来</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600" w:lineRule="exact"/>
        <w:ind w:left="0" w:right="0" w:firstLine="0"/>
        <w:jc w:val="left"/>
        <w:textAlignment w:val="auto"/>
        <w:rPr>
          <w:rFonts w:hint="eastAsia" w:ascii="仿宋_GB2312" w:hAnsi="仿宋_GB2312" w:eastAsia="仿宋_GB2312" w:cs="仿宋_GB2312"/>
          <w:caps w:val="0"/>
          <w:color w:val="000000"/>
          <w:spacing w:val="0"/>
          <w:sz w:val="32"/>
          <w:szCs w:val="32"/>
        </w:rPr>
      </w:pPr>
      <w:r>
        <w:rPr>
          <w:rFonts w:hint="eastAsia" w:ascii="仿宋_GB2312" w:hAnsi="仿宋_GB2312" w:eastAsia="仿宋_GB2312" w:cs="仿宋_GB2312"/>
          <w:caps w:val="0"/>
          <w:color w:val="000000"/>
          <w:spacing w:val="0"/>
          <w:sz w:val="32"/>
          <w:szCs w:val="32"/>
          <w:shd w:val="clear" w:fill="FFFFFF"/>
        </w:rPr>
        <w:t>　　■“一带一路”是大家携手前进的阳光大道，不是某一方的私家小路，追求的是发展，崇尚的是共赢，传递的是希望。我们将同各方继续高质量共建“一带一路”，践行共商共建共享原则，弘扬开放、绿色、廉洁理念，努力实现高标准、惠民生、可持续目标</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600" w:lineRule="exact"/>
        <w:ind w:left="0" w:right="0" w:firstLine="0"/>
        <w:jc w:val="left"/>
        <w:textAlignment w:val="auto"/>
        <w:rPr>
          <w:rFonts w:hint="eastAsia" w:ascii="仿宋_GB2312" w:hAnsi="仿宋_GB2312" w:eastAsia="仿宋_GB2312" w:cs="仿宋_GB2312"/>
          <w:caps w:val="0"/>
          <w:color w:val="000000"/>
          <w:spacing w:val="0"/>
          <w:sz w:val="32"/>
          <w:szCs w:val="32"/>
        </w:rPr>
      </w:pPr>
      <w:r>
        <w:rPr>
          <w:rFonts w:hint="eastAsia" w:ascii="仿宋_GB2312" w:hAnsi="仿宋_GB2312" w:eastAsia="仿宋_GB2312" w:cs="仿宋_GB2312"/>
          <w:caps w:val="0"/>
          <w:color w:val="000000"/>
          <w:spacing w:val="0"/>
          <w:sz w:val="32"/>
          <w:szCs w:val="32"/>
          <w:shd w:val="clear" w:fill="FFFFFF"/>
        </w:rPr>
        <w:t>　　■2021年是中国共产党成立100周年。中国共产党为中国人民谋幸福，为中华民族谋复兴，为世界谋大同。中国将继续做世界和平的建设者、全球发展的贡献者、国际秩序的维护者。中国将始终高举和平、发展、合作、共赢旗帜，积极推动构建新型国际关系。中国无论发展到什么程度，永远不称霸、不扩张、不谋求势力范围，不搞军备竞赛。中国将积极参与贸易和投资领域多边合作，推进海南自由贸易港建设，推动建设更高水平开放型经济新体制。欢迎各方分享中国市场的巨大机遇</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600" w:lineRule="exact"/>
        <w:ind w:left="0" w:right="0" w:firstLine="0"/>
        <w:jc w:val="left"/>
        <w:textAlignment w:val="auto"/>
        <w:rPr>
          <w:rFonts w:hint="eastAsia" w:ascii="仿宋_GB2312" w:hAnsi="仿宋_GB2312" w:eastAsia="仿宋_GB2312" w:cs="仿宋_GB2312"/>
          <w:caps w:val="0"/>
          <w:color w:val="000000"/>
          <w:spacing w:val="0"/>
          <w:sz w:val="32"/>
          <w:szCs w:val="32"/>
        </w:rPr>
      </w:pPr>
      <w:r>
        <w:rPr>
          <w:rFonts w:hint="eastAsia" w:ascii="仿宋_GB2312" w:hAnsi="仿宋_GB2312" w:eastAsia="仿宋_GB2312" w:cs="仿宋_GB2312"/>
          <w:caps w:val="0"/>
          <w:color w:val="000000"/>
          <w:spacing w:val="0"/>
          <w:sz w:val="32"/>
          <w:szCs w:val="32"/>
          <w:shd w:val="clear" w:fill="FFFFFF"/>
        </w:rPr>
        <w:t>　　</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600" w:lineRule="exact"/>
        <w:ind w:left="0" w:right="0" w:firstLine="0"/>
        <w:jc w:val="left"/>
        <w:textAlignment w:val="auto"/>
        <w:rPr>
          <w:rFonts w:hint="eastAsia" w:ascii="仿宋_GB2312" w:hAnsi="仿宋_GB2312" w:eastAsia="仿宋_GB2312" w:cs="仿宋_GB2312"/>
          <w:caps w:val="0"/>
          <w:color w:val="000000"/>
          <w:spacing w:val="0"/>
          <w:sz w:val="32"/>
          <w:szCs w:val="32"/>
        </w:rPr>
      </w:pPr>
      <w:r>
        <w:rPr>
          <w:rFonts w:hint="eastAsia" w:ascii="仿宋_GB2312" w:hAnsi="仿宋_GB2312" w:eastAsia="仿宋_GB2312" w:cs="仿宋_GB2312"/>
          <w:caps w:val="0"/>
          <w:color w:val="000000"/>
          <w:spacing w:val="0"/>
          <w:sz w:val="32"/>
          <w:szCs w:val="32"/>
          <w:shd w:val="clear" w:fill="FFFFFF"/>
        </w:rPr>
        <w:t>　　新华社北京4月20日电  博鳌亚洲论坛2021年年会开幕式20日上午在海南博鳌举行，国家主席习近平以视频方式发表题为《同舟共济克时艰，命运与共创未来》的主旨演讲。</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600" w:lineRule="exact"/>
        <w:ind w:left="0" w:right="0" w:firstLine="0"/>
        <w:jc w:val="left"/>
        <w:textAlignment w:val="auto"/>
        <w:rPr>
          <w:rFonts w:hint="eastAsia" w:ascii="仿宋_GB2312" w:hAnsi="仿宋_GB2312" w:eastAsia="仿宋_GB2312" w:cs="仿宋_GB2312"/>
          <w:caps w:val="0"/>
          <w:color w:val="000000"/>
          <w:spacing w:val="0"/>
          <w:sz w:val="32"/>
          <w:szCs w:val="32"/>
        </w:rPr>
      </w:pPr>
      <w:r>
        <w:rPr>
          <w:rFonts w:hint="eastAsia" w:ascii="仿宋_GB2312" w:hAnsi="仿宋_GB2312" w:eastAsia="仿宋_GB2312" w:cs="仿宋_GB2312"/>
          <w:caps w:val="0"/>
          <w:color w:val="000000"/>
          <w:spacing w:val="0"/>
          <w:sz w:val="32"/>
          <w:szCs w:val="32"/>
          <w:shd w:val="clear" w:fill="FFFFFF"/>
        </w:rPr>
        <w:t>　　习近平指出，博鳌亚洲论坛成立20年来，见证了中国、亚洲、世界走过的不平凡历程，为促进亚洲和世界发展发挥了重要影响力、推动力。当前，百年变局和世纪疫情交织叠加，世界进入动荡变革期。我们所处的是一个充满挑战的时代，也是一个充满希望的时代。人类社会应该向何处去？我们应该为子孙后代创造一个什么样的未来？对这一重大命题，我们要从人类共同利益出发，以负责任态度作出明智选择。中方倡议，亚洲和世界各国要回应时代呼唤，携手共克疫情，加强全球治理，朝着构建人类命运共同体方向不断迈进。</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600" w:lineRule="exact"/>
        <w:ind w:left="0" w:right="0" w:firstLine="0"/>
        <w:jc w:val="left"/>
        <w:textAlignment w:val="auto"/>
        <w:rPr>
          <w:rFonts w:hint="eastAsia" w:ascii="仿宋_GB2312" w:hAnsi="仿宋_GB2312" w:eastAsia="仿宋_GB2312" w:cs="仿宋_GB2312"/>
          <w:caps w:val="0"/>
          <w:color w:val="000000"/>
          <w:spacing w:val="0"/>
          <w:sz w:val="32"/>
          <w:szCs w:val="32"/>
        </w:rPr>
      </w:pPr>
      <w:r>
        <w:rPr>
          <w:rFonts w:hint="eastAsia" w:ascii="仿宋_GB2312" w:hAnsi="仿宋_GB2312" w:eastAsia="仿宋_GB2312" w:cs="仿宋_GB2312"/>
          <w:caps w:val="0"/>
          <w:color w:val="000000"/>
          <w:spacing w:val="0"/>
          <w:sz w:val="32"/>
          <w:szCs w:val="32"/>
          <w:shd w:val="clear" w:fill="FFFFFF"/>
        </w:rPr>
        <w:t>　　——我们要平等协商，开创共赢共享的未来。应该坚持真正的多边主义，推动全球治理体系朝着更加公正合理的方向发展。国际上的事应该由大家共同商量着办，世界前途命运应该由各国共同掌握。世界要公道，不要霸道。大国要有大国的样子，要展现更多责任担当。</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600" w:lineRule="exact"/>
        <w:ind w:left="0" w:right="0" w:firstLine="0"/>
        <w:jc w:val="left"/>
        <w:textAlignment w:val="auto"/>
        <w:rPr>
          <w:rFonts w:hint="eastAsia" w:ascii="仿宋_GB2312" w:hAnsi="仿宋_GB2312" w:eastAsia="仿宋_GB2312" w:cs="仿宋_GB2312"/>
          <w:caps w:val="0"/>
          <w:color w:val="000000"/>
          <w:spacing w:val="0"/>
          <w:sz w:val="32"/>
          <w:szCs w:val="32"/>
        </w:rPr>
      </w:pPr>
      <w:r>
        <w:rPr>
          <w:rFonts w:hint="eastAsia" w:ascii="仿宋_GB2312" w:hAnsi="仿宋_GB2312" w:eastAsia="仿宋_GB2312" w:cs="仿宋_GB2312"/>
          <w:caps w:val="0"/>
          <w:color w:val="000000"/>
          <w:spacing w:val="0"/>
          <w:sz w:val="32"/>
          <w:szCs w:val="32"/>
          <w:shd w:val="clear" w:fill="FFFFFF"/>
        </w:rPr>
        <w:t>　　——我们要开放创新，开创发展繁荣的未来。要推动贸易和投资自由化便利化，深化区域经济一体化，巩固供应链、产业链、数据链、人才链，构建开放型世界经济。人为“筑墙”、“脱钩”违背经济规律和市场规则，损人不利己。</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600" w:lineRule="exact"/>
        <w:ind w:left="0" w:right="0" w:firstLine="0"/>
        <w:jc w:val="left"/>
        <w:textAlignment w:val="auto"/>
        <w:rPr>
          <w:rFonts w:hint="eastAsia" w:ascii="仿宋_GB2312" w:hAnsi="仿宋_GB2312" w:eastAsia="仿宋_GB2312" w:cs="仿宋_GB2312"/>
          <w:caps w:val="0"/>
          <w:color w:val="000000"/>
          <w:spacing w:val="0"/>
          <w:sz w:val="32"/>
          <w:szCs w:val="32"/>
        </w:rPr>
      </w:pPr>
      <w:r>
        <w:rPr>
          <w:rFonts w:hint="eastAsia" w:ascii="仿宋_GB2312" w:hAnsi="仿宋_GB2312" w:eastAsia="仿宋_GB2312" w:cs="仿宋_GB2312"/>
          <w:caps w:val="0"/>
          <w:color w:val="000000"/>
          <w:spacing w:val="0"/>
          <w:sz w:val="32"/>
          <w:szCs w:val="32"/>
          <w:shd w:val="clear" w:fill="FFFFFF"/>
        </w:rPr>
        <w:t>　　——我们要同舟共济，开创健康安全的未来。加强信息共享和联防联控，加强新冠肺炎疫苗国际合作，全面加强全球公共卫生安全治理，共同构建人类卫生健康共同体。推进应对气候变化国际合作。</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600" w:lineRule="exact"/>
        <w:ind w:left="0" w:right="0" w:firstLine="0"/>
        <w:jc w:val="left"/>
        <w:textAlignment w:val="auto"/>
        <w:rPr>
          <w:rFonts w:hint="eastAsia" w:ascii="仿宋_GB2312" w:hAnsi="仿宋_GB2312" w:eastAsia="仿宋_GB2312" w:cs="仿宋_GB2312"/>
          <w:caps w:val="0"/>
          <w:color w:val="000000"/>
          <w:spacing w:val="0"/>
          <w:sz w:val="32"/>
          <w:szCs w:val="32"/>
        </w:rPr>
      </w:pPr>
      <w:r>
        <w:rPr>
          <w:rFonts w:hint="eastAsia" w:ascii="仿宋_GB2312" w:hAnsi="仿宋_GB2312" w:eastAsia="仿宋_GB2312" w:cs="仿宋_GB2312"/>
          <w:caps w:val="0"/>
          <w:color w:val="000000"/>
          <w:spacing w:val="0"/>
          <w:sz w:val="32"/>
          <w:szCs w:val="32"/>
          <w:shd w:val="clear" w:fill="FFFFFF"/>
        </w:rPr>
        <w:t>　　——我们要坚守正义，开创互尊互鉴的未来。要摒弃冷战思维和零和博弈，反对任何形式的“新冷战”和意识形态对抗。国与国相处，要把平等相待、互尊互信挺在前面。要弘扬和平、发展、公平、正义、民主、自由的全人类共同价值，倡导不同文明交流互鉴。</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600" w:lineRule="exact"/>
        <w:ind w:left="0" w:right="0" w:firstLine="0"/>
        <w:jc w:val="left"/>
        <w:textAlignment w:val="auto"/>
        <w:rPr>
          <w:rFonts w:hint="eastAsia" w:ascii="仿宋_GB2312" w:hAnsi="仿宋_GB2312" w:eastAsia="仿宋_GB2312" w:cs="仿宋_GB2312"/>
          <w:caps w:val="0"/>
          <w:color w:val="000000"/>
          <w:spacing w:val="0"/>
          <w:sz w:val="32"/>
          <w:szCs w:val="32"/>
        </w:rPr>
      </w:pPr>
      <w:r>
        <w:rPr>
          <w:rFonts w:hint="eastAsia" w:ascii="仿宋_GB2312" w:hAnsi="仿宋_GB2312" w:eastAsia="仿宋_GB2312" w:cs="仿宋_GB2312"/>
          <w:caps w:val="0"/>
          <w:color w:val="000000"/>
          <w:spacing w:val="0"/>
          <w:sz w:val="32"/>
          <w:szCs w:val="32"/>
          <w:shd w:val="clear" w:fill="FFFFFF"/>
        </w:rPr>
        <w:t>　　习近平宣布，中方将在疫情得到控制后即举办第二届亚洲文明对话大会，为促进亚洲和世界文明对话发挥积极作用。</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600" w:lineRule="exact"/>
        <w:ind w:left="0" w:right="0" w:firstLine="0"/>
        <w:jc w:val="left"/>
        <w:textAlignment w:val="auto"/>
        <w:rPr>
          <w:rFonts w:hint="eastAsia" w:ascii="仿宋_GB2312" w:hAnsi="仿宋_GB2312" w:eastAsia="仿宋_GB2312" w:cs="仿宋_GB2312"/>
          <w:caps w:val="0"/>
          <w:color w:val="000000"/>
          <w:spacing w:val="0"/>
          <w:sz w:val="32"/>
          <w:szCs w:val="32"/>
        </w:rPr>
      </w:pPr>
      <w:r>
        <w:rPr>
          <w:rFonts w:hint="eastAsia" w:ascii="仿宋_GB2312" w:hAnsi="仿宋_GB2312" w:eastAsia="仿宋_GB2312" w:cs="仿宋_GB2312"/>
          <w:caps w:val="0"/>
          <w:color w:val="000000"/>
          <w:spacing w:val="0"/>
          <w:sz w:val="32"/>
          <w:szCs w:val="32"/>
          <w:shd w:val="clear" w:fill="FFFFFF"/>
        </w:rPr>
        <w:t>　　习近平指出，“一带一路”是大家携手前进的阳光大道，不是某一方的私家小路，追求的是发展，崇尚的是共赢，传递的是希望。我们将同各方继续高质量共建“一带一路”，践行共商共建共享原则，弘扬开放、绿色、廉洁理念，努力实现高标准、惠民生、可持续目标。我们将建设更紧密的卫生合作伙伴关系，更紧密的互联互通伙伴关系，更紧密的绿色发展伙伴关系，更紧密的开放包容伙伴关系，为人类走向共同繁荣作出积极贡献。</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600" w:lineRule="exact"/>
        <w:ind w:left="0" w:right="0" w:firstLine="0"/>
        <w:jc w:val="left"/>
        <w:textAlignment w:val="auto"/>
        <w:rPr>
          <w:rFonts w:hint="eastAsia" w:ascii="仿宋_GB2312" w:hAnsi="仿宋_GB2312" w:eastAsia="仿宋_GB2312" w:cs="仿宋_GB2312"/>
          <w:caps w:val="0"/>
          <w:color w:val="000000"/>
          <w:spacing w:val="0"/>
          <w:sz w:val="32"/>
          <w:szCs w:val="32"/>
        </w:rPr>
      </w:pPr>
      <w:r>
        <w:rPr>
          <w:rFonts w:hint="eastAsia" w:ascii="仿宋_GB2312" w:hAnsi="仿宋_GB2312" w:eastAsia="仿宋_GB2312" w:cs="仿宋_GB2312"/>
          <w:caps w:val="0"/>
          <w:color w:val="000000"/>
          <w:spacing w:val="0"/>
          <w:sz w:val="32"/>
          <w:szCs w:val="32"/>
          <w:shd w:val="clear" w:fill="FFFFFF"/>
        </w:rPr>
        <w:t>　　习近平强调，2021年是中国共产党成立100周年。中国共产党为中国人民谋幸福，为中华民族谋复兴，为世界谋大同。中国将继续做世界和平的建设者、全球发展的贡献者、国际秩序的维护者。中国将始终高举和平、发展、合作、共赢旗帜，积极推动构建新型国际关系。中国无论发展到什么程度，永远不称霸、不扩张、不谋求势力范围，不搞军备竞赛。中国将积极参与贸易和投资领域多边合作，推进海南自由贸易港建设，推动建设更高水平开放型经济新体制。欢迎各方分享中国市场的巨大机遇。</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600" w:lineRule="exact"/>
        <w:ind w:left="0" w:right="0" w:firstLine="0"/>
        <w:jc w:val="left"/>
        <w:textAlignment w:val="auto"/>
        <w:rPr>
          <w:rFonts w:hint="eastAsia" w:ascii="仿宋_GB2312" w:hAnsi="仿宋_GB2312" w:eastAsia="仿宋_GB2312" w:cs="仿宋_GB2312"/>
          <w:caps w:val="0"/>
          <w:color w:val="000000"/>
          <w:spacing w:val="0"/>
          <w:sz w:val="32"/>
          <w:szCs w:val="32"/>
        </w:rPr>
      </w:pPr>
      <w:r>
        <w:rPr>
          <w:rFonts w:hint="eastAsia" w:ascii="仿宋_GB2312" w:hAnsi="仿宋_GB2312" w:eastAsia="仿宋_GB2312" w:cs="仿宋_GB2312"/>
          <w:caps w:val="0"/>
          <w:color w:val="000000"/>
          <w:spacing w:val="0"/>
          <w:sz w:val="32"/>
          <w:szCs w:val="32"/>
          <w:shd w:val="clear" w:fill="FFFFFF"/>
        </w:rPr>
        <w:t>　　习近平最后说，同舟共济扬帆起，乘风破浪万里航。尽管有时会遭遇惊涛骇浪和逆流险滩，但只要我们齐心协力、把准航向，人类社会发展的巨轮必将行稳致远，驶向更加美好的未来！（演讲全文见第二版）</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600" w:lineRule="exact"/>
        <w:ind w:left="0" w:right="0" w:firstLine="0"/>
        <w:jc w:val="left"/>
        <w:textAlignment w:val="auto"/>
        <w:rPr>
          <w:rFonts w:hint="eastAsia" w:ascii="仿宋_GB2312" w:hAnsi="仿宋_GB2312" w:eastAsia="仿宋_GB2312" w:cs="仿宋_GB2312"/>
          <w:caps w:val="0"/>
          <w:color w:val="000000"/>
          <w:spacing w:val="0"/>
          <w:sz w:val="32"/>
          <w:szCs w:val="32"/>
        </w:rPr>
      </w:pPr>
      <w:r>
        <w:rPr>
          <w:rFonts w:hint="eastAsia" w:ascii="仿宋_GB2312" w:hAnsi="仿宋_GB2312" w:eastAsia="仿宋_GB2312" w:cs="仿宋_GB2312"/>
          <w:caps w:val="0"/>
          <w:color w:val="000000"/>
          <w:spacing w:val="0"/>
          <w:sz w:val="32"/>
          <w:szCs w:val="32"/>
          <w:shd w:val="clear" w:fill="FFFFFF"/>
        </w:rPr>
        <w:t>　　《 人民日报 》（ 2021年04月21日 01 版）</w:t>
      </w:r>
    </w:p>
    <w:p>
      <w:pPr>
        <w:keepNext w:val="0"/>
        <w:keepLines w:val="0"/>
        <w:pageBreakBefore w:val="0"/>
        <w:widowControl/>
        <w:shd w:val="clear" w:color="auto" w:fill="FFFFFF"/>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b/>
          <w:sz w:val="32"/>
          <w:szCs w:val="32"/>
        </w:rPr>
      </w:pPr>
    </w:p>
    <w:p>
      <w:pPr>
        <w:keepNext w:val="0"/>
        <w:keepLines w:val="0"/>
        <w:pageBreakBefore w:val="0"/>
        <w:widowControl/>
        <w:shd w:val="clear" w:color="auto" w:fill="FFFFFF"/>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b/>
          <w:sz w:val="32"/>
          <w:szCs w:val="32"/>
        </w:rPr>
      </w:pPr>
    </w:p>
    <w:p>
      <w:pPr>
        <w:keepNext w:val="0"/>
        <w:keepLines w:val="0"/>
        <w:pageBreakBefore w:val="0"/>
        <w:widowControl/>
        <w:shd w:val="clear" w:color="auto" w:fill="FFFFFF"/>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b/>
          <w:sz w:val="32"/>
          <w:szCs w:val="32"/>
        </w:rPr>
      </w:pPr>
    </w:p>
    <w:p>
      <w:pPr>
        <w:keepNext w:val="0"/>
        <w:keepLines w:val="0"/>
        <w:pageBreakBefore w:val="0"/>
        <w:widowControl/>
        <w:shd w:val="clear" w:color="auto" w:fill="FFFFFF"/>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b/>
          <w:sz w:val="32"/>
          <w:szCs w:val="32"/>
        </w:rPr>
      </w:pPr>
    </w:p>
    <w:p>
      <w:pPr>
        <w:widowControl/>
        <w:shd w:val="clear" w:color="auto" w:fill="FFFFFF"/>
        <w:spacing w:line="420" w:lineRule="atLeast"/>
        <w:jc w:val="center"/>
        <w:rPr>
          <w:rFonts w:hint="eastAsia" w:ascii="方正小标宋简体" w:hAnsi="方正小标宋简体" w:eastAsia="方正小标宋简体" w:cs="方正小标宋简体"/>
          <w:b/>
          <w:sz w:val="48"/>
          <w:szCs w:val="44"/>
        </w:rPr>
      </w:pPr>
    </w:p>
    <w:p>
      <w:pPr>
        <w:widowControl/>
        <w:shd w:val="clear" w:color="auto" w:fill="FFFFFF"/>
        <w:spacing w:line="420" w:lineRule="atLeast"/>
        <w:jc w:val="center"/>
        <w:rPr>
          <w:rFonts w:hint="eastAsia" w:ascii="方正小标宋简体" w:hAnsi="方正小标宋简体" w:eastAsia="方正小标宋简体" w:cs="方正小标宋简体"/>
          <w:b/>
          <w:sz w:val="48"/>
          <w:szCs w:val="44"/>
        </w:rPr>
      </w:pPr>
    </w:p>
    <w:p>
      <w:pPr>
        <w:widowControl/>
        <w:shd w:val="clear" w:color="auto" w:fill="FFFFFF"/>
        <w:spacing w:line="420" w:lineRule="atLeast"/>
        <w:jc w:val="center"/>
        <w:rPr>
          <w:rFonts w:hint="eastAsia" w:ascii="方正小标宋简体" w:hAnsi="方正小标宋简体" w:eastAsia="方正小标宋简体" w:cs="方正小标宋简体"/>
          <w:b/>
          <w:sz w:val="48"/>
          <w:szCs w:val="44"/>
        </w:rPr>
      </w:pPr>
    </w:p>
    <w:p>
      <w:pPr>
        <w:widowControl/>
        <w:shd w:val="clear" w:color="auto" w:fill="FFFFFF"/>
        <w:spacing w:line="420" w:lineRule="atLeast"/>
        <w:jc w:val="center"/>
        <w:rPr>
          <w:rFonts w:hint="eastAsia" w:ascii="方正小标宋简体" w:hAnsi="方正小标宋简体" w:eastAsia="方正小标宋简体" w:cs="方正小标宋简体"/>
          <w:b/>
          <w:sz w:val="48"/>
          <w:szCs w:val="44"/>
        </w:rPr>
      </w:pPr>
    </w:p>
    <w:p>
      <w:pPr>
        <w:widowControl/>
        <w:shd w:val="clear" w:color="auto" w:fill="FFFFFF"/>
        <w:spacing w:line="420" w:lineRule="atLeast"/>
        <w:jc w:val="center"/>
        <w:rPr>
          <w:rFonts w:hint="eastAsia" w:ascii="方正小标宋简体" w:hAnsi="方正小标宋简体" w:eastAsia="方正小标宋简体" w:cs="方正小标宋简体"/>
          <w:b/>
          <w:sz w:val="48"/>
          <w:szCs w:val="44"/>
        </w:rPr>
      </w:pPr>
    </w:p>
    <w:p>
      <w:pPr>
        <w:widowControl/>
        <w:shd w:val="clear" w:color="auto" w:fill="FFFFFF"/>
        <w:spacing w:line="420" w:lineRule="atLeast"/>
        <w:jc w:val="center"/>
        <w:rPr>
          <w:rFonts w:hint="eastAsia" w:ascii="方正小标宋简体" w:hAnsi="方正小标宋简体" w:eastAsia="方正小标宋简体" w:cs="方正小标宋简体"/>
          <w:b/>
          <w:sz w:val="48"/>
          <w:szCs w:val="44"/>
        </w:rPr>
      </w:pPr>
    </w:p>
    <w:p>
      <w:pPr>
        <w:widowControl/>
        <w:shd w:val="clear" w:color="auto" w:fill="FFFFFF"/>
        <w:spacing w:line="420" w:lineRule="atLeast"/>
        <w:jc w:val="center"/>
        <w:rPr>
          <w:rFonts w:hint="eastAsia" w:ascii="方正小标宋简体" w:hAnsi="方正小标宋简体" w:eastAsia="方正小标宋简体" w:cs="方正小标宋简体"/>
          <w:b/>
          <w:sz w:val="48"/>
          <w:szCs w:val="44"/>
        </w:rPr>
      </w:pPr>
    </w:p>
    <w:p>
      <w:pPr>
        <w:widowControl/>
        <w:shd w:val="clear" w:color="auto" w:fill="FFFFFF"/>
        <w:spacing w:line="420" w:lineRule="atLeast"/>
        <w:jc w:val="center"/>
        <w:rPr>
          <w:rFonts w:hint="eastAsia" w:ascii="方正小标宋简体" w:hAnsi="方正小标宋简体" w:eastAsia="方正小标宋简体" w:cs="方正小标宋简体"/>
          <w:b/>
          <w:sz w:val="48"/>
          <w:szCs w:val="44"/>
        </w:rPr>
      </w:pPr>
    </w:p>
    <w:p>
      <w:pPr>
        <w:widowControl/>
        <w:shd w:val="clear" w:color="auto" w:fill="FFFFFF"/>
        <w:spacing w:line="420" w:lineRule="atLeast"/>
        <w:jc w:val="center"/>
        <w:rPr>
          <w:rFonts w:hint="eastAsia" w:ascii="方正小标宋简体" w:hAnsi="方正小标宋简体" w:eastAsia="方正小标宋简体" w:cs="方正小标宋简体"/>
          <w:b/>
          <w:sz w:val="48"/>
          <w:szCs w:val="44"/>
        </w:rPr>
      </w:pPr>
    </w:p>
    <w:p>
      <w:pPr>
        <w:widowControl/>
        <w:shd w:val="clear" w:color="auto" w:fill="FFFFFF"/>
        <w:spacing w:line="420" w:lineRule="atLeast"/>
        <w:jc w:val="both"/>
        <w:rPr>
          <w:rFonts w:hint="eastAsia" w:ascii="方正小标宋简体" w:hAnsi="方正小标宋简体" w:eastAsia="方正小标宋简体" w:cs="方正小标宋简体"/>
          <w:b/>
          <w:sz w:val="48"/>
          <w:szCs w:val="44"/>
        </w:rPr>
      </w:pP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700" w:lineRule="exact"/>
        <w:ind w:right="0"/>
        <w:jc w:val="center"/>
        <w:textAlignment w:val="auto"/>
        <w:outlineLvl w:val="0"/>
        <w:rPr>
          <w:rFonts w:hint="eastAsia" w:ascii="方正小标宋简体" w:hAnsi="方正小标宋简体" w:eastAsia="方正小标宋简体" w:cs="方正小标宋简体"/>
          <w:b w:val="0"/>
          <w:bCs/>
          <w:sz w:val="44"/>
          <w:szCs w:val="44"/>
        </w:rPr>
      </w:pPr>
      <w:bookmarkStart w:id="62" w:name="_Toc11601"/>
      <w:r>
        <w:rPr>
          <w:rStyle w:val="15"/>
          <w:rFonts w:hint="eastAsia" w:ascii="方正小标宋简体" w:hAnsi="方正小标宋简体" w:eastAsia="方正小标宋简体" w:cs="方正小标宋简体"/>
          <w:b w:val="0"/>
          <w:bCs/>
          <w:caps w:val="0"/>
          <w:color w:val="000000"/>
          <w:spacing w:val="0"/>
          <w:sz w:val="44"/>
          <w:szCs w:val="44"/>
          <w:shd w:val="clear" w:fill="FFFFFF"/>
        </w:rPr>
        <w:t>中共中央政治局召开会议</w:t>
      </w:r>
      <w:bookmarkEnd w:id="62"/>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700" w:lineRule="exact"/>
        <w:ind w:left="0" w:right="0" w:firstLine="420"/>
        <w:jc w:val="center"/>
        <w:textAlignment w:val="auto"/>
        <w:rPr>
          <w:rFonts w:hint="eastAsia" w:ascii="方正小标宋简体" w:hAnsi="方正小标宋简体" w:eastAsia="方正小标宋简体" w:cs="方正小标宋简体"/>
          <w:b w:val="0"/>
          <w:bCs/>
          <w:sz w:val="32"/>
          <w:szCs w:val="32"/>
        </w:rPr>
      </w:pPr>
      <w:r>
        <w:rPr>
          <w:rStyle w:val="15"/>
          <w:rFonts w:hint="eastAsia" w:ascii="方正小标宋简体" w:hAnsi="方正小标宋简体" w:eastAsia="方正小标宋简体" w:cs="方正小标宋简体"/>
          <w:b w:val="0"/>
          <w:bCs/>
          <w:caps w:val="0"/>
          <w:color w:val="000000"/>
          <w:spacing w:val="0"/>
          <w:sz w:val="32"/>
          <w:szCs w:val="32"/>
          <w:shd w:val="clear" w:fill="FFFFFF"/>
        </w:rPr>
        <w:t>分析研究当前经济形势和经济工作 听取第三次全国国土调查主要情况汇报 审议《中国共产党组织工作条例》</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700" w:lineRule="exact"/>
        <w:ind w:left="0" w:right="0" w:firstLine="420"/>
        <w:jc w:val="center"/>
        <w:textAlignment w:val="auto"/>
        <w:rPr>
          <w:rStyle w:val="15"/>
          <w:rFonts w:hint="eastAsia" w:ascii="方正小标宋简体" w:hAnsi="方正小标宋简体" w:eastAsia="方正小标宋简体" w:cs="方正小标宋简体"/>
          <w:b w:val="0"/>
          <w:bCs/>
          <w:caps w:val="0"/>
          <w:color w:val="000000"/>
          <w:spacing w:val="0"/>
          <w:sz w:val="32"/>
          <w:szCs w:val="32"/>
          <w:shd w:val="clear" w:fill="FFFFFF"/>
        </w:rPr>
      </w:pPr>
      <w:r>
        <w:rPr>
          <w:rStyle w:val="15"/>
          <w:rFonts w:hint="eastAsia" w:ascii="方正小标宋简体" w:hAnsi="方正小标宋简体" w:eastAsia="方正小标宋简体" w:cs="方正小标宋简体"/>
          <w:b w:val="0"/>
          <w:bCs/>
          <w:caps w:val="0"/>
          <w:color w:val="000000"/>
          <w:spacing w:val="0"/>
          <w:sz w:val="32"/>
          <w:szCs w:val="32"/>
          <w:shd w:val="clear" w:fill="FFFFFF"/>
        </w:rPr>
        <w:t>中共中央总书记习近平主持会议</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700" w:lineRule="exact"/>
        <w:ind w:left="0" w:right="0" w:firstLine="420"/>
        <w:jc w:val="center"/>
        <w:textAlignment w:val="auto"/>
        <w:rPr>
          <w:rFonts w:hint="eastAsia" w:ascii="方正小标宋简体" w:hAnsi="方正小标宋简体" w:eastAsia="方正小标宋简体" w:cs="方正小标宋简体"/>
          <w:b w:val="0"/>
          <w:bCs/>
          <w:sz w:val="32"/>
          <w:szCs w:val="32"/>
        </w:rPr>
      </w:pPr>
      <w:r>
        <w:rPr>
          <w:rFonts w:hint="eastAsia" w:ascii="楷体_GB2312" w:hAnsi="楷体_GB2312" w:eastAsia="楷体_GB2312" w:cs="楷体_GB2312"/>
          <w:i w:val="0"/>
          <w:caps w:val="0"/>
          <w:color w:val="000000"/>
          <w:spacing w:val="0"/>
          <w:sz w:val="28"/>
          <w:szCs w:val="28"/>
          <w:shd w:val="clear" w:fill="FFFFFF"/>
        </w:rPr>
        <w:t>2021年04月30日    来源：</w:t>
      </w:r>
      <w:r>
        <w:rPr>
          <w:rFonts w:hint="eastAsia" w:ascii="楷体_GB2312" w:hAnsi="楷体_GB2312" w:eastAsia="楷体_GB2312" w:cs="楷体_GB2312"/>
          <w:i w:val="0"/>
          <w:caps w:val="0"/>
          <w:color w:val="000000"/>
          <w:spacing w:val="0"/>
          <w:sz w:val="28"/>
          <w:szCs w:val="28"/>
          <w:u w:val="none"/>
          <w:shd w:val="clear" w:fill="FFFFFF"/>
        </w:rPr>
        <w:fldChar w:fldCharType="begin"/>
      </w:r>
      <w:r>
        <w:rPr>
          <w:rFonts w:hint="eastAsia" w:ascii="楷体_GB2312" w:hAnsi="楷体_GB2312" w:eastAsia="楷体_GB2312" w:cs="楷体_GB2312"/>
          <w:i w:val="0"/>
          <w:caps w:val="0"/>
          <w:color w:val="000000"/>
          <w:spacing w:val="0"/>
          <w:sz w:val="28"/>
          <w:szCs w:val="28"/>
          <w:u w:val="none"/>
          <w:shd w:val="clear" w:fill="FFFFFF"/>
        </w:rPr>
        <w:instrText xml:space="preserve"> HYPERLINK "http://www.xinhuanet.com/politics/leaders/2021-04/30/c_1127398723.htm" \t "http://cpc.people.com.cn/n1/2021/0430/_blank" </w:instrText>
      </w:r>
      <w:r>
        <w:rPr>
          <w:rFonts w:hint="eastAsia" w:ascii="楷体_GB2312" w:hAnsi="楷体_GB2312" w:eastAsia="楷体_GB2312" w:cs="楷体_GB2312"/>
          <w:i w:val="0"/>
          <w:caps w:val="0"/>
          <w:color w:val="000000"/>
          <w:spacing w:val="0"/>
          <w:sz w:val="28"/>
          <w:szCs w:val="28"/>
          <w:u w:val="none"/>
          <w:shd w:val="clear" w:fill="FFFFFF"/>
        </w:rPr>
        <w:fldChar w:fldCharType="separate"/>
      </w:r>
      <w:r>
        <w:rPr>
          <w:rStyle w:val="16"/>
          <w:rFonts w:hint="eastAsia" w:ascii="楷体_GB2312" w:hAnsi="楷体_GB2312" w:eastAsia="楷体_GB2312" w:cs="楷体_GB2312"/>
          <w:i w:val="0"/>
          <w:caps w:val="0"/>
          <w:color w:val="000000"/>
          <w:spacing w:val="0"/>
          <w:sz w:val="28"/>
          <w:szCs w:val="28"/>
          <w:u w:val="none"/>
          <w:shd w:val="clear" w:fill="FFFFFF"/>
        </w:rPr>
        <w:t>新华网</w:t>
      </w:r>
      <w:r>
        <w:rPr>
          <w:rFonts w:hint="eastAsia" w:ascii="楷体_GB2312" w:hAnsi="楷体_GB2312" w:eastAsia="楷体_GB2312" w:cs="楷体_GB2312"/>
          <w:i w:val="0"/>
          <w:caps w:val="0"/>
          <w:color w:val="000000"/>
          <w:spacing w:val="0"/>
          <w:sz w:val="28"/>
          <w:szCs w:val="28"/>
          <w:u w:val="none"/>
          <w:shd w:val="clear" w:fill="FFFFFF"/>
        </w:rPr>
        <w:fldChar w:fldCharType="end"/>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aps w:val="0"/>
          <w:color w:val="000000"/>
          <w:spacing w:val="0"/>
          <w:sz w:val="32"/>
          <w:szCs w:val="32"/>
          <w:shd w:val="clear" w:fill="FFFFFF"/>
        </w:rPr>
        <w:t>新华社北京4月30日电 中共中央政治局4月30日召开会议，分析研究当前经济形势和经济工作；听取第三次全国国土调查主要情况汇报；审议《中国共产党组织工作条例》。中共中央总书记习近平主持会议。</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aps w:val="0"/>
          <w:color w:val="000000"/>
          <w:spacing w:val="0"/>
          <w:sz w:val="32"/>
          <w:szCs w:val="32"/>
          <w:shd w:val="clear" w:fill="FFFFFF"/>
        </w:rPr>
        <w:t>会议认为，今年以来，在以习近平同志为核心的党中央坚强领导下，各地区各部门统筹推进疫情防控和经济社会发展工作，有力实施宏观政策，推动我国经济恢复取得明显成效，经济运行开局良好，高质量发展取得新成效。</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aps w:val="0"/>
          <w:color w:val="000000"/>
          <w:spacing w:val="0"/>
          <w:sz w:val="32"/>
          <w:szCs w:val="32"/>
          <w:shd w:val="clear" w:fill="FFFFFF"/>
        </w:rPr>
        <w:t>会议指出，要辩证看待一季度经济数据，当前经济恢复不均衡、基础不稳固。要用好稳增长压力较小的窗口期，推动经济稳中向好，凝神聚力深化供给侧结构性改革，打通国内大循环、国内国际双循环堵点，为“十四五”时期我国经济发展提供持续动力。</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aps w:val="0"/>
          <w:color w:val="000000"/>
          <w:spacing w:val="0"/>
          <w:sz w:val="32"/>
          <w:szCs w:val="32"/>
          <w:shd w:val="clear" w:fill="FFFFFF"/>
        </w:rPr>
        <w:t>会议要求，要坚持稳中求进工作总基调，准确把握新发展阶段，全面贯彻新发展理念，加快构建新发展格局，着力推动高质量发展，慎终如始抓好疫情防控。要精准实施宏观政策，保持宏观政策连续性、稳定性、可持续性，不急转弯，把握好时度效，固本培元，稳定预期，保持经济运行在合理区间，使经济在恢复中达到更高水平均衡。积极的财政政策要落实落细，兜牢基层“三保”底线，发挥对优化经济结构的撬动作用。稳健的货币政策要保持流动性合理充裕，强化对实体经济、重点领域、薄弱环节的支持。保持人民币汇率在合理均衡水平上的基本稳定。</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aps w:val="0"/>
          <w:color w:val="000000"/>
          <w:spacing w:val="0"/>
          <w:sz w:val="32"/>
          <w:szCs w:val="32"/>
          <w:shd w:val="clear" w:fill="FFFFFF"/>
        </w:rPr>
        <w:t>会议强调，要引领产业优化升级，强化国家战略科技力量，积极发展工业互联网，加快产业数字化。要有序推进碳达峰、碳中和工作，积极发展新能源。要促进国内需求加快恢复，促进制造业投资和民间投资尽快恢复，做好国家重大项目用地等要素保障，制定促进共同富裕行动纲要，以城乡居民收入普遍增长支撑内需持续扩大。要推进改革开放，深入实施国企改革三年行动方案，优化民营经济发展环境，加快建设各类高水平开放平台，推动共建“一带一路”高质量发展。要防范化解经济金融风险，建立地方党政主要领导负责的财政金融风险处置机制。要加强和改进平台经济监管，促进公平竞争。要保障和改善民生，强化就业优先政策，做好高校毕业生等重点群体就业，巩固拓展脱贫攻坚成果，在乡村振兴中持续改善脱贫人口生活，做好重要民生商品保供稳价。要坚持房子是用来住的、不是用来炒的定位，增加保障性租赁住房和共有产权住房供给，防止以学区房等名义炒作房价。要坚持不懈抓好安全生产。要始终绷紧疫情防控这根弦，坚持外防输入、内防反弹，抓好疫苗接种，推进疫情国际联防联控。</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aps w:val="0"/>
          <w:color w:val="000000"/>
          <w:spacing w:val="0"/>
          <w:sz w:val="32"/>
          <w:szCs w:val="32"/>
          <w:shd w:val="clear" w:fill="FFFFFF"/>
        </w:rPr>
        <w:t>会议指出，第三次全国国土调查是近年来开展的一次重大国情国力调查，也是党和国家机构改革后统一开展的自然资源基础调查，对调查中反映出的问题，要高度重视、深入分析，采取有针对性措施切实加以解决。</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aps w:val="0"/>
          <w:color w:val="000000"/>
          <w:spacing w:val="0"/>
          <w:sz w:val="32"/>
          <w:szCs w:val="32"/>
          <w:shd w:val="clear" w:fill="FFFFFF"/>
        </w:rPr>
        <w:t>会议强调，要坚持最严格耕地保护制度，优化调整农村用地布局，确定各地耕地保有量和永久基本农田保护任务，规范耕地占补平衡，确保可以长期稳定利用的耕地总量不再减少。要压实地方各级党委和政府责任，实行党政同责，从严查处各类违法违规占用耕地或改变耕地用途行为，遏制耕地“非农化”、严格管控“非粮化”，对在耕地保护方面有令不行、有禁不止、失职渎职的，要严肃追究责任。要坚持系统观念，加强顶层规划，因地制宜，统筹生态建设。要坚持节约集约，合理确定新增建设用地规模，提高土地开发利用效率。要继续推动城乡存量建设用地开发利用，完善政府引导市场参与的城镇低效用地再开发政策体系。要强化土地使用标准和节约集约用地评价，大力推广节地模式。要加强调查成果共享应用，在此基础上做好国土空间规划，调整并进一步明确生态保护红线、环境质量底线、资源利用上线。要深入开展资源国情宣传教育，推动全社会牢固树立资源节约利用意识。</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aps w:val="0"/>
          <w:color w:val="000000"/>
          <w:spacing w:val="0"/>
          <w:sz w:val="32"/>
          <w:szCs w:val="32"/>
          <w:shd w:val="clear" w:fill="FFFFFF"/>
        </w:rPr>
        <w:t>会议指出，组织严密是党的光荣传统和独特优势，制定出台《中国共产党组织工作条例》，对于坚持和加强党对组织工作的全面领导、深入贯彻新时代党的组织路线、推进组织工作制度化规范化科学化、全面提高组织工作质量，具有重要意义。</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aps w:val="0"/>
          <w:color w:val="000000"/>
          <w:spacing w:val="0"/>
          <w:sz w:val="32"/>
          <w:szCs w:val="32"/>
          <w:shd w:val="clear" w:fill="FFFFFF"/>
        </w:rPr>
        <w:t>会议强调，做好新时代组织工作，要坚持以习近平新时代中国特色社会主义思想为指导，坚持组织路线为政治路线服务，把党的领导贯彻到组织工作各方面全过程。要加强党的组织体系建设，健全维护党的集中统一的组织制度，完善上下贯通、执行有力的组织体系，不断增强党的政治领导力、思想引领力、群众组织力、社会号召力。要贯彻党管干部原则，坚持好干部标准，坚持德才兼备、以德为先、五湖四海、任人唯贤，坚持正确选人用人导向，着力建设忠诚干净担当的高素质专业化干部队伍。要贯彻党管人才原则，构建科学规范、开放包容、运行高效的人才发展治理体系，努力建设一支矢志爱国奋斗、勇于创新创造的优秀人才队伍。各级党委（党组）要主动承担起抓好组织工作的领导责任，加强系统谋划、统筹协调、把关定向，不断提高强组织、抓班子、带队伍、育人才的能力，为组织工作创造良好条件、营造良好环境。</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right="0" w:firstLine="640" w:firstLineChars="200"/>
        <w:jc w:val="left"/>
        <w:textAlignment w:val="auto"/>
        <w:rPr>
          <w:rFonts w:hint="eastAsia" w:ascii="仿宋_GB2312" w:hAnsi="仿宋_GB2312" w:eastAsia="仿宋_GB2312" w:cs="仿宋_GB2312"/>
          <w:caps w:val="0"/>
          <w:color w:val="000000"/>
          <w:spacing w:val="0"/>
          <w:sz w:val="32"/>
          <w:szCs w:val="32"/>
          <w:shd w:val="clear" w:fill="FFFFFF"/>
          <w:lang w:eastAsia="zh-CN"/>
        </w:rPr>
      </w:pPr>
      <w:r>
        <w:rPr>
          <w:rFonts w:hint="eastAsia" w:ascii="仿宋_GB2312" w:hAnsi="仿宋_GB2312" w:eastAsia="仿宋_GB2312" w:cs="仿宋_GB2312"/>
          <w:caps w:val="0"/>
          <w:color w:val="000000"/>
          <w:spacing w:val="0"/>
          <w:sz w:val="32"/>
          <w:szCs w:val="32"/>
          <w:shd w:val="clear" w:fill="FFFFFF"/>
        </w:rPr>
        <w:t>会议还研究了其他事项</w:t>
      </w:r>
      <w:r>
        <w:rPr>
          <w:rFonts w:hint="eastAsia" w:ascii="仿宋_GB2312" w:hAnsi="仿宋_GB2312" w:eastAsia="仿宋_GB2312" w:cs="仿宋_GB2312"/>
          <w:caps w:val="0"/>
          <w:color w:val="000000"/>
          <w:spacing w:val="0"/>
          <w:sz w:val="32"/>
          <w:szCs w:val="32"/>
          <w:shd w:val="clear" w:fill="FFFFFF"/>
          <w:lang w:eastAsia="zh-CN"/>
        </w:rPr>
        <w:t>。</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right="0" w:firstLine="640" w:firstLineChars="200"/>
        <w:jc w:val="left"/>
        <w:textAlignment w:val="auto"/>
        <w:rPr>
          <w:rFonts w:hint="eastAsia" w:ascii="仿宋_GB2312" w:hAnsi="仿宋_GB2312" w:eastAsia="仿宋_GB2312" w:cs="仿宋_GB2312"/>
          <w:caps w:val="0"/>
          <w:color w:val="000000"/>
          <w:spacing w:val="0"/>
          <w:sz w:val="32"/>
          <w:szCs w:val="32"/>
          <w:shd w:val="clear" w:fill="FFFFFF"/>
          <w:lang w:eastAsia="zh-CN"/>
        </w:rPr>
      </w:pPr>
    </w:p>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700" w:lineRule="exact"/>
        <w:ind w:left="0" w:right="0" w:firstLine="0"/>
        <w:jc w:val="center"/>
        <w:textAlignment w:val="auto"/>
        <w:outlineLvl w:val="0"/>
        <w:rPr>
          <w:rFonts w:hint="eastAsia" w:ascii="方正小标宋简体" w:hAnsi="方正小标宋简体" w:eastAsia="方正小标宋简体" w:cs="方正小标宋简体"/>
          <w:b w:val="0"/>
          <w:bCs w:val="0"/>
          <w:i w:val="0"/>
          <w:caps w:val="0"/>
          <w:color w:val="000000"/>
          <w:spacing w:val="0"/>
          <w:sz w:val="32"/>
          <w:szCs w:val="32"/>
        </w:rPr>
      </w:pPr>
      <w:bookmarkStart w:id="63" w:name="_Toc9738"/>
      <w:bookmarkStart w:id="64" w:name="_Toc9229"/>
      <w:r>
        <w:rPr>
          <w:rFonts w:hint="eastAsia" w:ascii="方正小标宋简体" w:hAnsi="方正小标宋简体" w:eastAsia="方正小标宋简体" w:cs="方正小标宋简体"/>
          <w:b w:val="0"/>
          <w:bCs w:val="0"/>
          <w:i w:val="0"/>
          <w:caps w:val="0"/>
          <w:color w:val="000000"/>
          <w:spacing w:val="0"/>
          <w:sz w:val="32"/>
          <w:szCs w:val="32"/>
          <w:shd w:val="clear" w:fill="FFFFFF"/>
        </w:rPr>
        <w:t>《求是》杂志发表习近平总书记重要文章</w:t>
      </w:r>
      <w:bookmarkEnd w:id="63"/>
      <w:bookmarkEnd w:id="64"/>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700" w:lineRule="exact"/>
        <w:ind w:left="0" w:right="0" w:firstLine="0"/>
        <w:jc w:val="center"/>
        <w:textAlignment w:val="auto"/>
        <w:rPr>
          <w:rFonts w:hint="eastAsia" w:ascii="方正小标宋简体" w:hAnsi="方正小标宋简体" w:eastAsia="方正小标宋简体" w:cs="方正小标宋简体"/>
          <w:b w:val="0"/>
          <w:bCs w:val="0"/>
          <w:i w:val="0"/>
          <w:caps w:val="0"/>
          <w:color w:val="000000"/>
          <w:spacing w:val="0"/>
          <w:sz w:val="44"/>
          <w:szCs w:val="44"/>
          <w:shd w:val="clear" w:fill="FFFFFF"/>
        </w:rPr>
      </w:pPr>
      <w:bookmarkStart w:id="65" w:name="_Toc11375"/>
      <w:bookmarkStart w:id="66" w:name="_Toc12130"/>
      <w:bookmarkStart w:id="67" w:name="_Toc12295"/>
      <w:r>
        <w:rPr>
          <w:rFonts w:hint="eastAsia" w:ascii="方正小标宋简体" w:hAnsi="方正小标宋简体" w:eastAsia="方正小标宋简体" w:cs="方正小标宋简体"/>
          <w:b w:val="0"/>
          <w:bCs w:val="0"/>
          <w:i w:val="0"/>
          <w:caps w:val="0"/>
          <w:color w:val="000000"/>
          <w:spacing w:val="0"/>
          <w:sz w:val="44"/>
          <w:szCs w:val="44"/>
          <w:shd w:val="clear" w:fill="FFFFFF"/>
        </w:rPr>
        <w:t>把握新发展阶段，贯彻新发展理念，构建</w:t>
      </w:r>
      <w:bookmarkEnd w:id="65"/>
      <w:bookmarkEnd w:id="66"/>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700" w:lineRule="exact"/>
        <w:ind w:left="0" w:right="0" w:firstLine="0"/>
        <w:jc w:val="center"/>
        <w:textAlignment w:val="auto"/>
        <w:rPr>
          <w:rFonts w:hint="eastAsia" w:ascii="方正小标宋简体" w:hAnsi="方正小标宋简体" w:eastAsia="方正小标宋简体" w:cs="方正小标宋简体"/>
          <w:b w:val="0"/>
          <w:bCs w:val="0"/>
          <w:i w:val="0"/>
          <w:caps w:val="0"/>
          <w:color w:val="000000"/>
          <w:spacing w:val="0"/>
          <w:sz w:val="44"/>
          <w:szCs w:val="44"/>
        </w:rPr>
      </w:pPr>
      <w:bookmarkStart w:id="68" w:name="_Toc7463"/>
      <w:bookmarkStart w:id="69" w:name="_Toc3110"/>
      <w:bookmarkStart w:id="70" w:name="_Toc12607"/>
      <w:r>
        <w:rPr>
          <w:rFonts w:hint="eastAsia" w:ascii="方正小标宋简体" w:hAnsi="方正小标宋简体" w:eastAsia="方正小标宋简体" w:cs="方正小标宋简体"/>
          <w:b w:val="0"/>
          <w:bCs w:val="0"/>
          <w:i w:val="0"/>
          <w:caps w:val="0"/>
          <w:color w:val="000000"/>
          <w:spacing w:val="0"/>
          <w:sz w:val="44"/>
          <w:szCs w:val="44"/>
          <w:shd w:val="clear" w:fill="FFFFFF"/>
        </w:rPr>
        <w:t>新发展格局</w:t>
      </w:r>
      <w:bookmarkEnd w:id="67"/>
      <w:bookmarkEnd w:id="68"/>
      <w:bookmarkEnd w:id="69"/>
      <w:bookmarkEnd w:id="70"/>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700" w:lineRule="exact"/>
        <w:ind w:left="0" w:right="0" w:firstLine="0"/>
        <w:jc w:val="center"/>
        <w:textAlignment w:val="auto"/>
        <w:rPr>
          <w:rFonts w:hint="eastAsia" w:ascii="楷体_GB2312" w:hAnsi="楷体_GB2312" w:eastAsia="楷体_GB2312" w:cs="楷体_GB2312"/>
          <w:i w:val="0"/>
          <w:caps w:val="0"/>
          <w:color w:val="000000"/>
          <w:spacing w:val="0"/>
          <w:sz w:val="28"/>
          <w:szCs w:val="28"/>
        </w:rPr>
      </w:pPr>
      <w:r>
        <w:rPr>
          <w:rFonts w:hint="eastAsia" w:ascii="楷体_GB2312" w:hAnsi="楷体_GB2312" w:eastAsia="楷体_GB2312" w:cs="楷体_GB2312"/>
          <w:i w:val="0"/>
          <w:caps w:val="0"/>
          <w:color w:val="000000"/>
          <w:spacing w:val="0"/>
          <w:sz w:val="28"/>
          <w:szCs w:val="28"/>
          <w:shd w:val="clear" w:fill="FFFFFF"/>
        </w:rPr>
        <w:t>2021年05月01日    来源：</w:t>
      </w:r>
      <w:r>
        <w:rPr>
          <w:rFonts w:hint="eastAsia" w:ascii="楷体_GB2312" w:hAnsi="楷体_GB2312" w:eastAsia="楷体_GB2312" w:cs="楷体_GB2312"/>
          <w:i w:val="0"/>
          <w:caps w:val="0"/>
          <w:color w:val="000000"/>
          <w:spacing w:val="0"/>
          <w:sz w:val="28"/>
          <w:szCs w:val="28"/>
          <w:u w:val="none"/>
          <w:shd w:val="clear" w:fill="FFFFFF"/>
        </w:rPr>
        <w:fldChar w:fldCharType="begin"/>
      </w:r>
      <w:r>
        <w:rPr>
          <w:rFonts w:hint="eastAsia" w:ascii="楷体_GB2312" w:hAnsi="楷体_GB2312" w:eastAsia="楷体_GB2312" w:cs="楷体_GB2312"/>
          <w:i w:val="0"/>
          <w:caps w:val="0"/>
          <w:color w:val="000000"/>
          <w:spacing w:val="0"/>
          <w:sz w:val="28"/>
          <w:szCs w:val="28"/>
          <w:u w:val="none"/>
          <w:shd w:val="clear" w:fill="FFFFFF"/>
        </w:rPr>
        <w:instrText xml:space="preserve"> HYPERLINK "http://paper.people.com.cn/rmrb/html/2021-05/01/nw.D110000renmrb_20210501_3-01.htm" \t "http://cpc.people.com.cn/n1/2021/0501/_blank" </w:instrText>
      </w:r>
      <w:r>
        <w:rPr>
          <w:rFonts w:hint="eastAsia" w:ascii="楷体_GB2312" w:hAnsi="楷体_GB2312" w:eastAsia="楷体_GB2312" w:cs="楷体_GB2312"/>
          <w:i w:val="0"/>
          <w:caps w:val="0"/>
          <w:color w:val="000000"/>
          <w:spacing w:val="0"/>
          <w:sz w:val="28"/>
          <w:szCs w:val="28"/>
          <w:u w:val="none"/>
          <w:shd w:val="clear" w:fill="FFFFFF"/>
        </w:rPr>
        <w:fldChar w:fldCharType="separate"/>
      </w:r>
      <w:r>
        <w:rPr>
          <w:rStyle w:val="16"/>
          <w:rFonts w:hint="eastAsia" w:ascii="楷体_GB2312" w:hAnsi="楷体_GB2312" w:eastAsia="楷体_GB2312" w:cs="楷体_GB2312"/>
          <w:i w:val="0"/>
          <w:caps w:val="0"/>
          <w:color w:val="000000"/>
          <w:spacing w:val="0"/>
          <w:sz w:val="28"/>
          <w:szCs w:val="28"/>
          <w:u w:val="none"/>
          <w:shd w:val="clear" w:fill="FFFFFF"/>
        </w:rPr>
        <w:t>人民网－人民日报</w:t>
      </w:r>
      <w:r>
        <w:rPr>
          <w:rFonts w:hint="eastAsia" w:ascii="楷体_GB2312" w:hAnsi="楷体_GB2312" w:eastAsia="楷体_GB2312" w:cs="楷体_GB2312"/>
          <w:i w:val="0"/>
          <w:caps w:val="0"/>
          <w:color w:val="000000"/>
          <w:spacing w:val="0"/>
          <w:sz w:val="28"/>
          <w:szCs w:val="28"/>
          <w:u w:val="none"/>
          <w:shd w:val="clear" w:fill="FFFFFF"/>
        </w:rPr>
        <w:fldChar w:fldCharType="end"/>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aps w:val="0"/>
          <w:color w:val="000000"/>
          <w:spacing w:val="0"/>
          <w:sz w:val="32"/>
          <w:szCs w:val="32"/>
          <w:shd w:val="clear" w:fill="FFFFFF"/>
        </w:rPr>
        <w:t>新华社北京4月30日电  5月1日出版的第9期《求是》杂志将发表中共中央总书记、国家主席、中央军委主席习近平的重要文章《把握新发展阶段，贯彻新发展理念，构建新发展格局》。</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aps w:val="0"/>
          <w:color w:val="000000"/>
          <w:spacing w:val="0"/>
          <w:sz w:val="32"/>
          <w:szCs w:val="32"/>
          <w:shd w:val="clear" w:fill="FFFFFF"/>
        </w:rPr>
        <w:t>文章强调，进入新发展阶段、贯彻新发展理念、构建新发展格局，是由我国经济社会发展的理论逻辑、历史逻辑、现实逻辑决定的。要准确把握新发展阶段，深入贯彻新发展理念，加快构建新发展格局，推动“十四五”时期高质量发展，确保全面建设社会主义现代化国家开好局、起好步。</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aps w:val="0"/>
          <w:color w:val="000000"/>
          <w:spacing w:val="0"/>
          <w:sz w:val="32"/>
          <w:szCs w:val="32"/>
          <w:shd w:val="clear" w:fill="FFFFFF"/>
        </w:rPr>
        <w:t>文章指出，作出我国进入新发展阶段的战略判断，有着深刻的理论依据、历史依据、现实依据。新发展阶段，就是社会主义初级阶段中的一个阶段，同时是其中经过几十年积累、站到了新的起点上的一个阶段，是我们党带领人民迎来从站起来、富起来到强起来历史性跨越的新阶段，是我国社会主义发展进程中的一个重要阶段。全面建设社会主义现代化国家、基本实现社会主义现代化，既是社会主义初级阶段我国发展的要求，也是我国社会主义从初级阶段向更高阶段迈进的要求。</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aps w:val="0"/>
          <w:color w:val="000000"/>
          <w:spacing w:val="0"/>
          <w:sz w:val="32"/>
          <w:szCs w:val="32"/>
          <w:shd w:val="clear" w:fill="FFFFFF"/>
        </w:rPr>
        <w:t>文章强调，我们建设的现代化必须是具有中国特色、符合中国实际的。我国现代化是人口规模巨大的现代化，是全体人民共同富裕的现代化，是物质文明和精神文明相协调的现代化，是人与自然和谐共生的现代化，是走和平发展道路的现代化，这是我国现代化建设必须坚持的方向。</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aps w:val="0"/>
          <w:color w:val="000000"/>
          <w:spacing w:val="0"/>
          <w:sz w:val="32"/>
          <w:szCs w:val="32"/>
          <w:shd w:val="clear" w:fill="FFFFFF"/>
        </w:rPr>
        <w:t>文章指出，党的十八大以来我们对经济社会发展提出了许多重大理论和理念，其中新发展理念是最重要、最主要的。新发展理念是一个系统的理论体系，回答了关于发展的目的、动力、方式、路径等一系列理论和实践问题，阐明了我们党关于发展的政治立场、价值导向、发展模式、发展道路等重大政治问题。全党必须完整、准确、全面贯彻新发展理念。要从根本宗旨把握新发展理念，从问题导向把握新发展理念，从忧患意识把握新发展理念。</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aps w:val="0"/>
          <w:color w:val="000000"/>
          <w:spacing w:val="0"/>
          <w:sz w:val="32"/>
          <w:szCs w:val="32"/>
          <w:shd w:val="clear" w:fill="FFFFFF"/>
        </w:rPr>
        <w:t>文章指出，加快构建以国内大循环为主体、国内国际双循环相互促进的新发展格局，需要从全局高度准确把握和积极推进。构建新发展格局，关键在于经济循环的畅通无阻，最本质的特征是实现高水平的自立自强，必须充分利用和发挥市场资源这个优势，必须具备强大的国内经济循环体系和稳固的基本盘。</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left="0" w:right="0" w:firstLine="42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aps w:val="0"/>
          <w:color w:val="000000"/>
          <w:spacing w:val="0"/>
          <w:sz w:val="32"/>
          <w:szCs w:val="32"/>
          <w:shd w:val="clear" w:fill="FFFFFF"/>
        </w:rPr>
        <w:t>《 人民日报 》（ 2021年05月01日 01 版）</w:t>
      </w:r>
    </w:p>
    <w:p>
      <w:pPr>
        <w:keepNext w:val="0"/>
        <w:keepLines w:val="0"/>
        <w:pageBreakBefore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p>
    <w:p>
      <w:pPr>
        <w:keepNext w:val="0"/>
        <w:keepLines w:val="0"/>
        <w:pageBreakBefore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p>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700" w:lineRule="exact"/>
        <w:ind w:left="0" w:right="0" w:firstLine="0"/>
        <w:jc w:val="center"/>
        <w:textAlignment w:val="auto"/>
        <w:outlineLvl w:val="0"/>
        <w:rPr>
          <w:rFonts w:hint="eastAsia" w:ascii="方正小标宋简体" w:hAnsi="方正小标宋简体" w:eastAsia="方正小标宋简体" w:cs="方正小标宋简体"/>
          <w:b w:val="0"/>
          <w:i w:val="0"/>
          <w:caps w:val="0"/>
          <w:color w:val="000000"/>
          <w:spacing w:val="0"/>
          <w:sz w:val="32"/>
          <w:szCs w:val="32"/>
        </w:rPr>
      </w:pPr>
      <w:bookmarkStart w:id="71" w:name="_Toc10408"/>
      <w:bookmarkStart w:id="72" w:name="_Toc27205"/>
      <w:bookmarkStart w:id="73" w:name="_Toc26238"/>
      <w:r>
        <w:rPr>
          <w:rFonts w:hint="eastAsia" w:ascii="方正小标宋简体" w:hAnsi="方正小标宋简体" w:eastAsia="方正小标宋简体" w:cs="方正小标宋简体"/>
          <w:b w:val="0"/>
          <w:i w:val="0"/>
          <w:caps w:val="0"/>
          <w:color w:val="000000"/>
          <w:spacing w:val="0"/>
          <w:sz w:val="32"/>
          <w:szCs w:val="32"/>
          <w:shd w:val="clear" w:fill="FFFFFF"/>
        </w:rPr>
        <w:t>习近平在中共中央政治局第二十九次集体学习时强调</w:t>
      </w:r>
      <w:bookmarkEnd w:id="71"/>
      <w:bookmarkEnd w:id="72"/>
      <w:bookmarkEnd w:id="73"/>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700" w:lineRule="exact"/>
        <w:ind w:left="0" w:right="0" w:firstLine="0"/>
        <w:jc w:val="center"/>
        <w:textAlignment w:val="auto"/>
        <w:rPr>
          <w:rFonts w:ascii="微软雅黑" w:hAnsi="微软雅黑" w:eastAsia="微软雅黑" w:cs="微软雅黑"/>
          <w:b w:val="0"/>
          <w:bCs/>
          <w:i w:val="0"/>
          <w:caps w:val="0"/>
          <w:color w:val="000000"/>
          <w:spacing w:val="0"/>
          <w:sz w:val="36"/>
          <w:szCs w:val="36"/>
        </w:rPr>
      </w:pPr>
      <w:bookmarkStart w:id="74" w:name="_Toc21061"/>
      <w:bookmarkStart w:id="75" w:name="_Toc22990"/>
      <w:bookmarkStart w:id="76" w:name="_Toc19388"/>
      <w:bookmarkStart w:id="77" w:name="_Toc3606"/>
      <w:bookmarkStart w:id="78" w:name="_Toc5169"/>
      <w:bookmarkStart w:id="79" w:name="_Toc1890"/>
      <w:r>
        <w:rPr>
          <w:rFonts w:hint="eastAsia" w:ascii="方正小标宋简体" w:hAnsi="方正小标宋简体" w:eastAsia="方正小标宋简体" w:cs="方正小标宋简体"/>
          <w:b w:val="0"/>
          <w:bCs/>
          <w:i w:val="0"/>
          <w:caps w:val="0"/>
          <w:color w:val="000000"/>
          <w:spacing w:val="0"/>
          <w:sz w:val="44"/>
          <w:szCs w:val="44"/>
          <w:shd w:val="clear" w:fill="FFFFFF"/>
        </w:rPr>
        <w:t>保持生态文明建设战略定力</w:t>
      </w:r>
      <w:r>
        <w:rPr>
          <w:rFonts w:hint="eastAsia" w:ascii="方正小标宋简体" w:hAnsi="方正小标宋简体" w:eastAsia="方正小标宋简体" w:cs="方正小标宋简体"/>
          <w:b w:val="0"/>
          <w:bCs/>
          <w:i w:val="0"/>
          <w:caps w:val="0"/>
          <w:color w:val="000000"/>
          <w:spacing w:val="0"/>
          <w:sz w:val="44"/>
          <w:szCs w:val="44"/>
          <w:shd w:val="clear" w:fill="FFFFFF"/>
        </w:rPr>
        <w:br w:type="textWrapping"/>
      </w:r>
      <w:r>
        <w:rPr>
          <w:rFonts w:hint="eastAsia" w:ascii="方正小标宋简体" w:hAnsi="方正小标宋简体" w:eastAsia="方正小标宋简体" w:cs="方正小标宋简体"/>
          <w:b w:val="0"/>
          <w:bCs/>
          <w:i w:val="0"/>
          <w:caps w:val="0"/>
          <w:color w:val="000000"/>
          <w:spacing w:val="0"/>
          <w:sz w:val="44"/>
          <w:szCs w:val="44"/>
          <w:shd w:val="clear" w:fill="FFFFFF"/>
        </w:rPr>
        <w:t>努力建设人与自然和谐共生的现代化</w:t>
      </w:r>
      <w:bookmarkEnd w:id="74"/>
      <w:bookmarkEnd w:id="75"/>
      <w:bookmarkEnd w:id="76"/>
      <w:bookmarkEnd w:id="77"/>
      <w:bookmarkEnd w:id="78"/>
      <w:bookmarkEnd w:id="79"/>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700" w:lineRule="exact"/>
        <w:ind w:left="0" w:right="0" w:firstLine="0"/>
        <w:jc w:val="center"/>
        <w:textAlignment w:val="auto"/>
        <w:rPr>
          <w:rFonts w:hint="eastAsia" w:ascii="楷体_GB2312" w:hAnsi="楷体_GB2312" w:eastAsia="楷体_GB2312" w:cs="楷体_GB2312"/>
          <w:i w:val="0"/>
          <w:caps w:val="0"/>
          <w:color w:val="000000"/>
          <w:spacing w:val="0"/>
          <w:sz w:val="28"/>
          <w:szCs w:val="28"/>
        </w:rPr>
      </w:pPr>
      <w:r>
        <w:rPr>
          <w:rFonts w:hint="eastAsia" w:ascii="楷体_GB2312" w:hAnsi="楷体_GB2312" w:eastAsia="楷体_GB2312" w:cs="楷体_GB2312"/>
          <w:i w:val="0"/>
          <w:caps w:val="0"/>
          <w:color w:val="000000"/>
          <w:spacing w:val="0"/>
          <w:sz w:val="28"/>
          <w:szCs w:val="28"/>
          <w:shd w:val="clear" w:fill="FFFFFF"/>
        </w:rPr>
        <w:t>2021年05月02日    来源：</w:t>
      </w:r>
      <w:r>
        <w:rPr>
          <w:rFonts w:hint="eastAsia" w:ascii="楷体_GB2312" w:hAnsi="楷体_GB2312" w:eastAsia="楷体_GB2312" w:cs="楷体_GB2312"/>
          <w:i w:val="0"/>
          <w:caps w:val="0"/>
          <w:color w:val="000000"/>
          <w:spacing w:val="0"/>
          <w:sz w:val="28"/>
          <w:szCs w:val="28"/>
          <w:u w:val="none"/>
          <w:shd w:val="clear" w:fill="FFFFFF"/>
        </w:rPr>
        <w:fldChar w:fldCharType="begin"/>
      </w:r>
      <w:r>
        <w:rPr>
          <w:rFonts w:hint="eastAsia" w:ascii="楷体_GB2312" w:hAnsi="楷体_GB2312" w:eastAsia="楷体_GB2312" w:cs="楷体_GB2312"/>
          <w:i w:val="0"/>
          <w:caps w:val="0"/>
          <w:color w:val="000000"/>
          <w:spacing w:val="0"/>
          <w:sz w:val="28"/>
          <w:szCs w:val="28"/>
          <w:u w:val="none"/>
          <w:shd w:val="clear" w:fill="FFFFFF"/>
        </w:rPr>
        <w:instrText xml:space="preserve"> HYPERLINK "http://paper.people.com.cn/rmrb/html/2021-05/02/nw.D110000renmrb_20210502_1-01.htm" \t "http://cpc.people.com.cn/n1/2021/0502/_blank" </w:instrText>
      </w:r>
      <w:r>
        <w:rPr>
          <w:rFonts w:hint="eastAsia" w:ascii="楷体_GB2312" w:hAnsi="楷体_GB2312" w:eastAsia="楷体_GB2312" w:cs="楷体_GB2312"/>
          <w:i w:val="0"/>
          <w:caps w:val="0"/>
          <w:color w:val="000000"/>
          <w:spacing w:val="0"/>
          <w:sz w:val="28"/>
          <w:szCs w:val="28"/>
          <w:u w:val="none"/>
          <w:shd w:val="clear" w:fill="FFFFFF"/>
        </w:rPr>
        <w:fldChar w:fldCharType="separate"/>
      </w:r>
      <w:r>
        <w:rPr>
          <w:rStyle w:val="16"/>
          <w:rFonts w:hint="eastAsia" w:ascii="楷体_GB2312" w:hAnsi="楷体_GB2312" w:eastAsia="楷体_GB2312" w:cs="楷体_GB2312"/>
          <w:i w:val="0"/>
          <w:caps w:val="0"/>
          <w:color w:val="000000"/>
          <w:spacing w:val="0"/>
          <w:sz w:val="28"/>
          <w:szCs w:val="28"/>
          <w:u w:val="none"/>
          <w:shd w:val="clear" w:fill="FFFFFF"/>
        </w:rPr>
        <w:t>人民网－人民日报</w:t>
      </w:r>
      <w:r>
        <w:rPr>
          <w:rFonts w:hint="eastAsia" w:ascii="楷体_GB2312" w:hAnsi="楷体_GB2312" w:eastAsia="楷体_GB2312" w:cs="楷体_GB2312"/>
          <w:i w:val="0"/>
          <w:caps w:val="0"/>
          <w:color w:val="000000"/>
          <w:spacing w:val="0"/>
          <w:sz w:val="28"/>
          <w:szCs w:val="28"/>
          <w:u w:val="none"/>
          <w:shd w:val="clear" w:fill="FFFFFF"/>
        </w:rPr>
        <w:fldChar w:fldCharType="end"/>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left="0" w:right="0" w:firstLine="42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aps w:val="0"/>
          <w:color w:val="000000"/>
          <w:spacing w:val="0"/>
          <w:sz w:val="32"/>
          <w:szCs w:val="32"/>
          <w:shd w:val="clear" w:fill="FFFFFF"/>
          <w:lang w:eastAsia="zh-CN"/>
        </w:rPr>
        <w:t>摘要：</w:t>
      </w:r>
      <w:r>
        <w:rPr>
          <w:rFonts w:hint="eastAsia" w:ascii="仿宋_GB2312" w:hAnsi="仿宋_GB2312" w:eastAsia="仿宋_GB2312" w:cs="仿宋_GB2312"/>
          <w:caps w:val="0"/>
          <w:color w:val="000000"/>
          <w:spacing w:val="0"/>
          <w:sz w:val="32"/>
          <w:szCs w:val="32"/>
          <w:shd w:val="clear" w:fill="FFFFFF"/>
        </w:rPr>
        <w:t>■ 生态环境保护和经济发展是辩证统一、相辅相成的，建设生态文明、推动绿色低碳循环发展，不仅可以满足人民日益增长的优美生态环境需要，而且可以推动实现更高质量、更有效率、更加公平、更可持续、更为安全的发展，走出一条生产发展、生活富裕、生态良好的文明发展道路。“十四五”时期，我国生态文明建设进入了以降碳为重点战略方向、推动减污降碳协同增效、促进经济社会发展全面绿色转型、实现生态环境质量改善由量变到质变的关键时期。要完整、准确、全面贯彻新发展理念，保持战略定力，站在人与自然和谐共生的高度来谋划经济社会发展，坚持节约资源和保护环境的基本国策，坚持节约优先、保护优先、自然恢复为主的方针，形成节约资源和保护环境的空间格局、产业结构、生产方式、生活方式，统筹污染治理、生态保护、应对气候变化，促进生态环境持续改善，努力建设人与自然和谐共生的现代化</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aps w:val="0"/>
          <w:color w:val="000000"/>
          <w:spacing w:val="0"/>
          <w:sz w:val="32"/>
          <w:szCs w:val="32"/>
          <w:shd w:val="clear" w:fill="FFFFFF"/>
        </w:rPr>
        <w:t>■ 我国建设社会主义现代化具有许多重要特征，其中之一就是我国现代化是人与自然和谐共生的现代化，注重同步推进物质文明建设和生态文明建设。要坚持不懈推动绿色低碳发展，建立健全绿色低碳循环发展经济体系，促进经济社会发展全面绿色转型</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aps w:val="0"/>
          <w:color w:val="000000"/>
          <w:spacing w:val="0"/>
          <w:sz w:val="32"/>
          <w:szCs w:val="32"/>
          <w:shd w:val="clear" w:fill="FFFFFF"/>
        </w:rPr>
        <w:t>■ 实现碳达峰、碳中和是我国向世界作出的庄严承诺，也是一场广泛而深刻的经济社会变革，绝不是轻轻松松就能实现的。各级党委和政府要拿出抓铁有痕、踏石留印的劲头，明确时间表、路线图、施工图，推动经济社会发展建立在资源高效利用和绿色低碳发展的基础之上。不符合要求的高耗能、高排放项目要坚决拿下来</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left="0" w:right="0" w:firstLine="42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aps w:val="0"/>
          <w:color w:val="000000"/>
          <w:spacing w:val="0"/>
          <w:sz w:val="32"/>
          <w:szCs w:val="32"/>
          <w:shd w:val="clear" w:fill="FFFFFF"/>
        </w:rPr>
        <w:t>■ 要深入打好污染防治攻坚战，集中攻克老百姓身边的突出生态环境问题，让老百姓实实在在感受到生态环境质量改善</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left="0" w:right="0" w:firstLine="42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aps w:val="0"/>
          <w:color w:val="000000"/>
          <w:spacing w:val="0"/>
          <w:sz w:val="32"/>
          <w:szCs w:val="32"/>
          <w:shd w:val="clear" w:fill="FFFFFF"/>
        </w:rPr>
        <w:t>■ 要提升生态系统质量和稳定性，坚持系统观念，从生态系统整体性出发，推进山水林田湖草沙一体化保护和修复，更加注重综合治理、系统治理、源头治理</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left="0" w:right="0" w:firstLine="42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aps w:val="0"/>
          <w:color w:val="000000"/>
          <w:spacing w:val="0"/>
          <w:sz w:val="32"/>
          <w:szCs w:val="32"/>
          <w:shd w:val="clear" w:fill="FFFFFF"/>
        </w:rPr>
        <w:t>■ 要积极推动全球可持续发展，秉持人类命运共同体理念，积极参与全球环境治理，为全球提供更多公共产品，展现我国负责任大国形象</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left="0" w:right="0" w:firstLine="42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aps w:val="0"/>
          <w:color w:val="000000"/>
          <w:spacing w:val="0"/>
          <w:sz w:val="32"/>
          <w:szCs w:val="32"/>
          <w:shd w:val="clear" w:fill="FFFFFF"/>
        </w:rPr>
        <w:t>■ 要提高生态环境治理体系和治理能力现代化水平，健全党委领导、政府主导、企业主体、社会组织和公众共同参与的环境治理体系，构建一体谋划、一体部署、一体推进、一体考核的制度机制</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left="0" w:right="0" w:firstLine="42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aps w:val="0"/>
          <w:color w:val="000000"/>
          <w:spacing w:val="0"/>
          <w:sz w:val="32"/>
          <w:szCs w:val="32"/>
          <w:shd w:val="clear" w:fill="FFFFFF"/>
        </w:rPr>
        <w:t>新华社北京5月1日电  中共中央政治局4月30日下午就新形势下加强我国生态文明建设进行第二十九次集体学习。中共中央总书记习近平在主持学习时强调，生态环境保护和经济发展是辩证统一、相辅相成的，建设生态文明、推动绿色低碳循环发展，不仅可以满足人民日益增长的优美生态环境需要，而且可以推动实现更高质量、更有效率、更加公平、更可持续、更为安全的发展，走出一条生产发展、生活富裕、生态良好的文明发展道路。“十四五”时期，我国生态文明建设进入了以降碳为重点战略方向、推动减污降碳协同增效、促进经济社会发展全面绿色转型、实现生态环境质量改善由量变到质变的关键时期。要完整、准确、全面贯彻新发展理念，保持战略定力，站在人与自然和谐共生的高度来谋划经济社会发展，坚持节约资源和保护环境的基本国策，坚持节约优先、保护优先、自然恢复为主的方针，形成节约资源和保护环境的空间格局、产业结构、生产方式、生活方式，统筹污染治理、生态保护、应对气候变化，促进生态环境持续改善，努力建设人与自然和谐共生的现代化。</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left="0" w:right="0" w:firstLine="42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aps w:val="0"/>
          <w:color w:val="000000"/>
          <w:spacing w:val="0"/>
          <w:sz w:val="32"/>
          <w:szCs w:val="32"/>
          <w:shd w:val="clear" w:fill="FFFFFF"/>
        </w:rPr>
        <w:t>生态环境部环境规划院院长王金南同志就这个问题进行讲解，提出了工作建议。中央政治局的同志认真听取了他的讲解，并进行了讨论。</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left="0" w:right="0" w:firstLine="42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aps w:val="0"/>
          <w:color w:val="000000"/>
          <w:spacing w:val="0"/>
          <w:sz w:val="32"/>
          <w:szCs w:val="32"/>
          <w:shd w:val="clear" w:fill="FFFFFF"/>
        </w:rPr>
        <w:t>习近平在主持学习时发表了讲话。他指出，党的十八大以来，我们加强党对生态文明建设的全面领导，把生态文明建设摆在全局工作的突出位置，全面加强生态文明建设，一体治理山水林田湖草沙，开展了一系列根本性、开创性、长远性工作，决心之大、力度之大、成效之大前所未有，生态文明建设从认识到实践都发生了历史性、转折性、全局性的变化，同时我国生态文明建设仍然面临诸多矛盾和挑战。生态环境修复和改善，是一个需要付出长期艰苦努力的过程，不可能一蹴而就，必须坚持不懈、奋发有为。</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left="0" w:right="0" w:firstLine="42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aps w:val="0"/>
          <w:color w:val="000000"/>
          <w:spacing w:val="0"/>
          <w:sz w:val="32"/>
          <w:szCs w:val="32"/>
          <w:shd w:val="clear" w:fill="FFFFFF"/>
        </w:rPr>
        <w:t>习近平指出，我国建设社会主义现代化具有许多重要特征，其中之一就是我国现代化是人与自然和谐共生的现代化，注重同步推进物质文明建设和生态文明建设。要坚持不懈推动绿色低碳发展，建立健全绿色低碳循环发展经济体系，促进经济社会发展全面绿色转型。要把实现减污降碳协同增效作为促进经济社会发展全面绿色转型的总抓手，加快推动产业结构、能源结构、交通运输结构、用地结构调整。要强化国土空间规划和用途管控，落实生态保护、基本农田、城镇开发等空间管控边界，实施主体功能区战略，划定并严守生态保护红线。要抓住资源利用这个源头，推进资源总量管理、科学配置、全面节约、循环利用，全面提高资源利用效率。要抓住产业结构调整这个关键，推动战略性新兴产业、高技术产业、现代服务业加快发展，推动能源清洁低碳安全高效利用，持续降低碳排放强度。要支持绿色低碳技术创新成果转化，支持绿色技术创新。实现碳达峰、碳中和是我国向世界作出的庄严承诺，也是一场广泛而深刻的经济社会变革，绝不是轻轻松松就能实现的。各级党委和政府要拿出抓铁有痕、踏石留印的劲头，明确时间表、路线图、施工图，推动经济社会发展建立在资源高效利用和绿色低碳发展的基础之上。不符合要求的高耗能、高排放项目要坚决拿下来。</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aps w:val="0"/>
          <w:color w:val="000000"/>
          <w:spacing w:val="0"/>
          <w:sz w:val="32"/>
          <w:szCs w:val="32"/>
          <w:shd w:val="clear" w:fill="FFFFFF"/>
        </w:rPr>
        <w:t>习近平强调，要深入打好污染防治攻坚战，集中攻克老百姓身边的突出生态环境问题，让老百姓实实在在感受到生态环境质量改善。要坚持精准治污、科学治污、依法治污，保持力度、延伸深度、拓宽广度，持续打好蓝天、碧水、净土保卫战。要强化多污染物协同控制和区域协同治理，加强细颗粒物和臭氧协同控制，基本消除重污染天气。要统筹水资源、水环境、水生态治理，有效保护居民饮用水安全，坚决治理城市黑臭水体。要推进土壤污染防治，有效管控农用地和建设用地土壤污染风险。要实施垃圾分类和减量化、资源化，重视新污染物治理。要推动污染治理向乡镇、农村延伸，强化农业面源污染治理，明显改善农村人居环境。</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aps w:val="0"/>
          <w:color w:val="000000"/>
          <w:spacing w:val="0"/>
          <w:sz w:val="32"/>
          <w:szCs w:val="32"/>
          <w:shd w:val="clear" w:fill="FFFFFF"/>
        </w:rPr>
        <w:t>习近平指出，要提升生态系统质量和稳定性，坚持系统观念，从生态系统整体性出发，推进山水林田湖草沙一体化保护和修复，更加注重综合治理、系统治理、源头治理。要加快构建以国家公园为主体的自然保护地体系，完善自然保护地、生态保护红线监管制度。要建立健全生态产品价值实现机制，让保护修复生态环境获得合理回报，让破坏生态环境付出相应代价。要科学推进荒漠化、石漠化、水土流失综合治理，开展大规模国土绿化行动。要推行草原森林河流湖泊休养生息，实施好长江十年禁渔，健全耕地休耕轮作制度。要实施生物多样性保护重大工程，强化外来物种管控，举办好《生物多样性公约》第十五次缔约方大会。</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aps w:val="0"/>
          <w:color w:val="000000"/>
          <w:spacing w:val="0"/>
          <w:sz w:val="32"/>
          <w:szCs w:val="32"/>
          <w:shd w:val="clear" w:fill="FFFFFF"/>
        </w:rPr>
        <w:t>习近平强调，要积极推动全球可持续发展，秉持人类命运共同体理念，积极参与全球环境治理，为全球提供更多公共产品，展现我国负责任大国形象。要加强南南合作以及同周边国家的合作，为发展中国家提供力所能及的资金、技术支持，帮助提高环境治理能力，共同打造绿色“一带一路”。要坚持共同但有区别的责任原则、公平原则和各自能力原则，坚定维护多边主义，坚决维护我国发展利益。</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aps w:val="0"/>
          <w:color w:val="000000"/>
          <w:spacing w:val="0"/>
          <w:sz w:val="32"/>
          <w:szCs w:val="32"/>
          <w:shd w:val="clear" w:fill="FFFFFF"/>
        </w:rPr>
        <w:t>习近平指出，要提高生态环境治理体系和治理能力现代化水平，健全党委领导、政府主导、企业主体、社会组织和公众共同参与的环境治理体系，构建一体谋划、一体部署、一体推进、一体考核的制度机制。要深入推进生态文明体制改革，强化绿色发展法律和政策保障。要完善环境保护、节能减排约束性指标管理，建立健全稳定的财政资金投入机制。要全面实行排污许可制，推进排污权、用能权、用水权、碳排放权市场化交易，建立健全风险管控机制。要增强全民节约意识、环保意识、生态意识，倡导简约适度、绿色低碳的生活方式，把建设美丽中国转化为全体人民自觉行动。各级党委和政府要担负起生态文明建设的政治责任，坚决做到令行禁止，确保党中央关于生态文明建设各项决策部署落地见效。</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left="0" w:right="0" w:firstLine="420"/>
        <w:jc w:val="left"/>
        <w:textAlignment w:val="auto"/>
        <w:rPr>
          <w:rFonts w:hint="eastAsia" w:ascii="仿宋_GB2312" w:hAnsi="仿宋_GB2312" w:eastAsia="仿宋_GB2312" w:cs="仿宋_GB2312"/>
          <w:caps w:val="0"/>
          <w:color w:val="000000"/>
          <w:spacing w:val="0"/>
          <w:sz w:val="32"/>
          <w:szCs w:val="32"/>
          <w:shd w:val="clear" w:fill="FFFFFF"/>
        </w:rPr>
      </w:pPr>
      <w:r>
        <w:rPr>
          <w:rFonts w:hint="eastAsia" w:ascii="仿宋_GB2312" w:hAnsi="仿宋_GB2312" w:eastAsia="仿宋_GB2312" w:cs="仿宋_GB2312"/>
          <w:caps w:val="0"/>
          <w:color w:val="000000"/>
          <w:spacing w:val="0"/>
          <w:sz w:val="32"/>
          <w:szCs w:val="32"/>
          <w:shd w:val="clear" w:fill="FFFFFF"/>
        </w:rPr>
        <w:t>《 人民日报 》（ 2021年05月02日 01 版）</w:t>
      </w:r>
    </w:p>
    <w:p>
      <w:pPr>
        <w:pStyle w:val="2"/>
        <w:keepNext w:val="0"/>
        <w:keepLines w:val="0"/>
        <w:pageBreakBefore w:val="0"/>
        <w:kinsoku/>
        <w:wordWrap/>
        <w:overflowPunct/>
        <w:topLinePunct w:val="0"/>
        <w:autoSpaceDE/>
        <w:autoSpaceDN/>
        <w:bidi w:val="0"/>
        <w:adjustRightInd/>
        <w:snapToGrid/>
        <w:spacing w:beforeAutospacing="0" w:afterAutospacing="0" w:line="700" w:lineRule="exact"/>
        <w:jc w:val="center"/>
        <w:textAlignment w:val="auto"/>
        <w:outlineLvl w:val="0"/>
        <w:rPr>
          <w:rFonts w:hint="eastAsia" w:ascii="方正小标宋简体" w:hAnsi="方正小标宋简体" w:eastAsia="方正小标宋简体" w:cs="方正小标宋简体"/>
          <w:b w:val="0"/>
          <w:bCs/>
          <w:sz w:val="44"/>
          <w:szCs w:val="44"/>
        </w:rPr>
      </w:pPr>
      <w:bookmarkStart w:id="80" w:name="_Toc10373"/>
      <w:r>
        <w:rPr>
          <w:rFonts w:hint="eastAsia" w:ascii="方正小标宋简体" w:hAnsi="方正小标宋简体" w:eastAsia="方正小标宋简体" w:cs="方正小标宋简体"/>
          <w:b w:val="0"/>
          <w:bCs/>
          <w:sz w:val="44"/>
          <w:szCs w:val="44"/>
          <w:lang w:val="en-US" w:eastAsia="zh-CN"/>
        </w:rPr>
        <w:t>孙春兰：推动卫生健康事业高质量发展 把人民健康福祉提高到新水平</w:t>
      </w:r>
      <w:bookmarkEnd w:id="80"/>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700" w:lineRule="exact"/>
        <w:ind w:left="0" w:right="0" w:firstLine="0"/>
        <w:jc w:val="center"/>
        <w:textAlignment w:val="auto"/>
        <w:rPr>
          <w:rFonts w:hint="default" w:ascii="楷体_GB2312" w:hAnsi="楷体_GB2312" w:eastAsia="楷体_GB2312" w:cs="楷体_GB2312"/>
          <w:i w:val="0"/>
          <w:caps w:val="0"/>
          <w:color w:val="333333"/>
          <w:spacing w:val="0"/>
          <w:sz w:val="28"/>
          <w:szCs w:val="28"/>
          <w:shd w:val="clear" w:fill="FFFFFF"/>
        </w:rPr>
      </w:pPr>
      <w:r>
        <w:rPr>
          <w:rFonts w:hint="default" w:ascii="楷体_GB2312" w:hAnsi="楷体_GB2312" w:eastAsia="楷体_GB2312" w:cs="楷体_GB2312"/>
          <w:i w:val="0"/>
          <w:caps w:val="0"/>
          <w:color w:val="333333"/>
          <w:spacing w:val="0"/>
          <w:sz w:val="28"/>
          <w:szCs w:val="28"/>
          <w:shd w:val="clear" w:fill="FFFFFF"/>
          <w:lang w:val="en-US" w:eastAsia="zh-CN"/>
        </w:rPr>
        <w:t xml:space="preserve">2021-05-10 </w:t>
      </w:r>
      <w:r>
        <w:rPr>
          <w:rFonts w:hint="eastAsia" w:ascii="楷体_GB2312" w:hAnsi="楷体_GB2312" w:eastAsia="楷体_GB2312" w:cs="楷体_GB2312"/>
          <w:i w:val="0"/>
          <w:caps w:val="0"/>
          <w:color w:val="333333"/>
          <w:spacing w:val="0"/>
          <w:sz w:val="28"/>
          <w:szCs w:val="28"/>
          <w:shd w:val="clear" w:fill="FFFFFF"/>
          <w:lang w:val="en-US" w:eastAsia="zh-CN"/>
        </w:rPr>
        <w:t xml:space="preserve">  </w:t>
      </w:r>
      <w:r>
        <w:rPr>
          <w:rFonts w:hint="default" w:ascii="楷体_GB2312" w:hAnsi="楷体_GB2312" w:eastAsia="楷体_GB2312" w:cs="楷体_GB2312"/>
          <w:i w:val="0"/>
          <w:caps w:val="0"/>
          <w:color w:val="333333"/>
          <w:spacing w:val="0"/>
          <w:sz w:val="28"/>
          <w:szCs w:val="28"/>
          <w:shd w:val="clear" w:fill="FFFFFF"/>
          <w:lang w:val="en-US" w:eastAsia="zh-CN"/>
        </w:rPr>
        <w:t> 来源： 新华网</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left="0" w:right="0" w:firstLine="420"/>
        <w:jc w:val="left"/>
        <w:textAlignment w:val="auto"/>
        <w:rPr>
          <w:rFonts w:hint="eastAsia" w:ascii="仿宋_GB2312" w:hAnsi="仿宋_GB2312" w:eastAsia="仿宋_GB2312" w:cs="仿宋_GB2312"/>
          <w:caps w:val="0"/>
          <w:color w:val="000000"/>
          <w:spacing w:val="0"/>
          <w:sz w:val="32"/>
          <w:szCs w:val="32"/>
          <w:shd w:val="clear" w:fill="FFFFFF"/>
        </w:rPr>
      </w:pP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left="0" w:right="0" w:firstLine="420"/>
        <w:jc w:val="left"/>
        <w:textAlignment w:val="auto"/>
        <w:rPr>
          <w:rFonts w:hint="eastAsia" w:ascii="仿宋_GB2312" w:hAnsi="仿宋_GB2312" w:eastAsia="仿宋_GB2312" w:cs="仿宋_GB2312"/>
          <w:caps w:val="0"/>
          <w:color w:val="000000"/>
          <w:spacing w:val="0"/>
          <w:sz w:val="32"/>
          <w:szCs w:val="32"/>
          <w:shd w:val="clear" w:fill="FFFFFF"/>
        </w:rPr>
      </w:pPr>
      <w:r>
        <w:rPr>
          <w:rFonts w:hint="eastAsia" w:ascii="仿宋_GB2312" w:hAnsi="仿宋_GB2312" w:eastAsia="仿宋_GB2312" w:cs="仿宋_GB2312"/>
          <w:caps w:val="0"/>
          <w:color w:val="000000"/>
          <w:spacing w:val="0"/>
          <w:sz w:val="32"/>
          <w:szCs w:val="32"/>
          <w:shd w:val="clear" w:fill="FFFFFF"/>
        </w:rPr>
        <w:t>新华社北京5月10日电 中共中央政治局委员、国务院副总理孙春兰10日同省部级干部全面推进健康中国建设专题研讨班学员座谈时强调，要深入贯彻习近平总书记关于健康中国建设的重要论述，落实党中央、国务院决策部署，牢固树立大卫生大健康理念，坚持以人民健康为中心的发展思想，坚持医疗卫生事业公益性，坚持深化“三医”联动改革，从以治病为中心转向以人民健康为中心，不断增强人民群众获得感幸福感安全感。</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right="0" w:firstLine="640" w:firstLineChars="200"/>
        <w:jc w:val="left"/>
        <w:textAlignment w:val="auto"/>
        <w:rPr>
          <w:rFonts w:hint="eastAsia" w:ascii="仿宋_GB2312" w:hAnsi="仿宋_GB2312" w:eastAsia="仿宋_GB2312" w:cs="仿宋_GB2312"/>
          <w:caps w:val="0"/>
          <w:color w:val="000000"/>
          <w:spacing w:val="0"/>
          <w:sz w:val="32"/>
          <w:szCs w:val="32"/>
          <w:shd w:val="clear" w:fill="FFFFFF"/>
        </w:rPr>
      </w:pPr>
      <w:r>
        <w:rPr>
          <w:rFonts w:hint="eastAsia" w:ascii="仿宋_GB2312" w:hAnsi="仿宋_GB2312" w:eastAsia="仿宋_GB2312" w:cs="仿宋_GB2312"/>
          <w:caps w:val="0"/>
          <w:color w:val="000000"/>
          <w:spacing w:val="0"/>
          <w:sz w:val="32"/>
          <w:szCs w:val="32"/>
          <w:shd w:val="clear" w:fill="FFFFFF"/>
        </w:rPr>
        <w:t>孙春兰指出，“十四五”时期，我国经济从高速增长阶段转向高质量发展阶段，人民群众对健康的需求不断提高。要把保障人民健康摆在优先发展的战略地位，改革完善疾病预防控制体系，持续推进健康中国行动，加强区域医疗中心和医联体建设，深化公立医院综合改革，推进医保统筹层次和支付方式改革，着力解决群众看病难看病贵问题。当前要毫不放松地抓好常态化疫情防控，压实“四方责任”，严格远端防控和源头管控，加快新冠病毒疫苗产出供应，加大疫苗接种组织推进力度，加强疫苗科普宣传，为巩固疫情防控成果、维护人民身体健康和生命安全奠定基础。</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right="0" w:firstLine="640" w:firstLineChars="200"/>
        <w:jc w:val="left"/>
        <w:textAlignment w:val="auto"/>
        <w:rPr>
          <w:rFonts w:hint="eastAsia" w:ascii="仿宋_GB2312" w:hAnsi="仿宋_GB2312" w:eastAsia="仿宋_GB2312" w:cs="仿宋_GB2312"/>
          <w:caps w:val="0"/>
          <w:color w:val="000000"/>
          <w:spacing w:val="0"/>
          <w:sz w:val="32"/>
          <w:szCs w:val="32"/>
          <w:shd w:val="clear" w:fill="FFFFFF"/>
        </w:rPr>
      </w:pPr>
      <w:r>
        <w:rPr>
          <w:rFonts w:hint="eastAsia" w:ascii="仿宋_GB2312" w:hAnsi="仿宋_GB2312" w:eastAsia="仿宋_GB2312" w:cs="仿宋_GB2312"/>
          <w:caps w:val="0"/>
          <w:color w:val="000000"/>
          <w:spacing w:val="0"/>
          <w:sz w:val="32"/>
          <w:szCs w:val="32"/>
          <w:shd w:val="clear" w:fill="FFFFFF"/>
        </w:rPr>
        <w:t>研讨班由中央组织部、中央党校（国家行政学院）、国家卫生健康委、国家医保局共同举办，各省区市和新疆生产建设兵团党委、政府和有关部门分管负责同志参加。</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left="0" w:right="0" w:firstLine="420"/>
        <w:jc w:val="left"/>
        <w:textAlignment w:val="auto"/>
        <w:rPr>
          <w:rFonts w:hint="eastAsia" w:ascii="仿宋_GB2312" w:hAnsi="仿宋_GB2312" w:eastAsia="仿宋_GB2312" w:cs="仿宋_GB2312"/>
          <w:caps w:val="0"/>
          <w:color w:val="000000"/>
          <w:spacing w:val="0"/>
          <w:sz w:val="32"/>
          <w:szCs w:val="32"/>
          <w:shd w:val="clear" w:fill="FFFFFF"/>
        </w:rPr>
      </w:pP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left="0" w:right="0" w:firstLine="420"/>
        <w:jc w:val="left"/>
        <w:textAlignment w:val="auto"/>
        <w:rPr>
          <w:rFonts w:hint="eastAsia" w:ascii="仿宋_GB2312" w:hAnsi="仿宋_GB2312" w:eastAsia="仿宋_GB2312" w:cs="仿宋_GB2312"/>
          <w:caps w:val="0"/>
          <w:color w:val="000000"/>
          <w:spacing w:val="0"/>
          <w:sz w:val="32"/>
          <w:szCs w:val="32"/>
          <w:shd w:val="clear" w:fill="FFFFFF"/>
        </w:rPr>
      </w:pP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left="0" w:right="0" w:firstLine="420"/>
        <w:jc w:val="left"/>
        <w:textAlignment w:val="auto"/>
        <w:rPr>
          <w:rFonts w:hint="eastAsia" w:ascii="仿宋_GB2312" w:hAnsi="仿宋_GB2312" w:eastAsia="仿宋_GB2312" w:cs="仿宋_GB2312"/>
          <w:caps w:val="0"/>
          <w:color w:val="000000"/>
          <w:spacing w:val="0"/>
          <w:sz w:val="32"/>
          <w:szCs w:val="32"/>
          <w:shd w:val="clear" w:fill="FFFFFF"/>
        </w:rPr>
      </w:pP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left="0" w:right="0" w:firstLine="420"/>
        <w:jc w:val="left"/>
        <w:textAlignment w:val="auto"/>
        <w:rPr>
          <w:rFonts w:hint="eastAsia" w:ascii="仿宋_GB2312" w:hAnsi="仿宋_GB2312" w:eastAsia="仿宋_GB2312" w:cs="仿宋_GB2312"/>
          <w:caps w:val="0"/>
          <w:color w:val="000000"/>
          <w:spacing w:val="0"/>
          <w:sz w:val="32"/>
          <w:szCs w:val="32"/>
          <w:shd w:val="clear" w:fill="FFFFFF"/>
        </w:rPr>
      </w:pP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left="0" w:right="0" w:firstLine="420"/>
        <w:jc w:val="left"/>
        <w:textAlignment w:val="auto"/>
        <w:rPr>
          <w:rFonts w:hint="eastAsia" w:ascii="仿宋_GB2312" w:hAnsi="仿宋_GB2312" w:eastAsia="仿宋_GB2312" w:cs="仿宋_GB2312"/>
          <w:caps w:val="0"/>
          <w:color w:val="000000"/>
          <w:spacing w:val="0"/>
          <w:sz w:val="32"/>
          <w:szCs w:val="32"/>
          <w:shd w:val="clear" w:fill="FFFFFF"/>
        </w:rPr>
      </w:pP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left="0" w:right="0" w:firstLine="420"/>
        <w:jc w:val="left"/>
        <w:textAlignment w:val="auto"/>
        <w:rPr>
          <w:rFonts w:hint="eastAsia" w:ascii="仿宋_GB2312" w:hAnsi="仿宋_GB2312" w:eastAsia="仿宋_GB2312" w:cs="仿宋_GB2312"/>
          <w:caps w:val="0"/>
          <w:color w:val="000000"/>
          <w:spacing w:val="0"/>
          <w:sz w:val="32"/>
          <w:szCs w:val="32"/>
          <w:shd w:val="clear" w:fill="FFFFFF"/>
        </w:rPr>
      </w:pP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left="0" w:right="0" w:firstLine="420"/>
        <w:jc w:val="left"/>
        <w:textAlignment w:val="auto"/>
        <w:rPr>
          <w:rFonts w:hint="eastAsia" w:ascii="仿宋_GB2312" w:hAnsi="仿宋_GB2312" w:eastAsia="仿宋_GB2312" w:cs="仿宋_GB2312"/>
          <w:caps w:val="0"/>
          <w:color w:val="000000"/>
          <w:spacing w:val="0"/>
          <w:sz w:val="32"/>
          <w:szCs w:val="32"/>
          <w:shd w:val="clear" w:fill="FFFFFF"/>
        </w:rPr>
      </w:pP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left="0" w:right="0" w:firstLine="420"/>
        <w:jc w:val="left"/>
        <w:textAlignment w:val="auto"/>
        <w:rPr>
          <w:rFonts w:hint="eastAsia" w:ascii="仿宋_GB2312" w:hAnsi="仿宋_GB2312" w:eastAsia="仿宋_GB2312" w:cs="仿宋_GB2312"/>
          <w:caps w:val="0"/>
          <w:color w:val="000000"/>
          <w:spacing w:val="0"/>
          <w:sz w:val="32"/>
          <w:szCs w:val="32"/>
          <w:shd w:val="clear" w:fill="FFFFFF"/>
        </w:rPr>
      </w:pP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left="0" w:right="0" w:firstLine="420"/>
        <w:jc w:val="left"/>
        <w:textAlignment w:val="auto"/>
        <w:rPr>
          <w:rFonts w:hint="eastAsia" w:ascii="仿宋_GB2312" w:hAnsi="仿宋_GB2312" w:eastAsia="仿宋_GB2312" w:cs="仿宋_GB2312"/>
          <w:caps w:val="0"/>
          <w:color w:val="000000"/>
          <w:spacing w:val="0"/>
          <w:sz w:val="32"/>
          <w:szCs w:val="32"/>
          <w:shd w:val="clear" w:fill="FFFFFF"/>
        </w:rPr>
      </w:pP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left="0" w:right="0" w:firstLine="420"/>
        <w:jc w:val="left"/>
        <w:textAlignment w:val="auto"/>
        <w:rPr>
          <w:rFonts w:hint="eastAsia" w:ascii="仿宋_GB2312" w:hAnsi="仿宋_GB2312" w:eastAsia="仿宋_GB2312" w:cs="仿宋_GB2312"/>
          <w:caps w:val="0"/>
          <w:color w:val="000000"/>
          <w:spacing w:val="0"/>
          <w:sz w:val="32"/>
          <w:szCs w:val="32"/>
          <w:shd w:val="clear" w:fill="FFFFFF"/>
        </w:rPr>
      </w:pP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left="0" w:right="0" w:firstLine="420"/>
        <w:jc w:val="left"/>
        <w:textAlignment w:val="auto"/>
        <w:rPr>
          <w:rFonts w:hint="eastAsia" w:ascii="仿宋_GB2312" w:hAnsi="仿宋_GB2312" w:eastAsia="仿宋_GB2312" w:cs="仿宋_GB2312"/>
          <w:caps w:val="0"/>
          <w:color w:val="000000"/>
          <w:spacing w:val="0"/>
          <w:sz w:val="32"/>
          <w:szCs w:val="32"/>
          <w:shd w:val="clear" w:fill="FFFFFF"/>
        </w:rPr>
      </w:pP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left="0" w:right="0" w:firstLine="420"/>
        <w:jc w:val="left"/>
        <w:textAlignment w:val="auto"/>
        <w:rPr>
          <w:rFonts w:hint="eastAsia" w:ascii="仿宋_GB2312" w:hAnsi="仿宋_GB2312" w:eastAsia="仿宋_GB2312" w:cs="仿宋_GB2312"/>
          <w:caps w:val="0"/>
          <w:color w:val="000000"/>
          <w:spacing w:val="0"/>
          <w:sz w:val="32"/>
          <w:szCs w:val="32"/>
          <w:shd w:val="clear" w:fill="FFFFFF"/>
        </w:rPr>
      </w:pP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left="0" w:right="0" w:firstLine="420"/>
        <w:jc w:val="left"/>
        <w:textAlignment w:val="auto"/>
        <w:rPr>
          <w:rFonts w:hint="eastAsia" w:ascii="仿宋_GB2312" w:hAnsi="仿宋_GB2312" w:eastAsia="仿宋_GB2312" w:cs="仿宋_GB2312"/>
          <w:caps w:val="0"/>
          <w:color w:val="000000"/>
          <w:spacing w:val="0"/>
          <w:sz w:val="32"/>
          <w:szCs w:val="32"/>
          <w:shd w:val="clear" w:fill="FFFFFF"/>
        </w:rPr>
      </w:pP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left="0" w:right="0" w:firstLine="420"/>
        <w:jc w:val="left"/>
        <w:textAlignment w:val="auto"/>
        <w:rPr>
          <w:rFonts w:hint="eastAsia" w:ascii="仿宋_GB2312" w:hAnsi="仿宋_GB2312" w:eastAsia="仿宋_GB2312" w:cs="仿宋_GB2312"/>
          <w:caps w:val="0"/>
          <w:color w:val="000000"/>
          <w:spacing w:val="0"/>
          <w:sz w:val="32"/>
          <w:szCs w:val="32"/>
          <w:shd w:val="clear" w:fill="FFFFFF"/>
        </w:rPr>
      </w:pP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left="0" w:right="0" w:firstLine="420"/>
        <w:jc w:val="left"/>
        <w:textAlignment w:val="auto"/>
        <w:rPr>
          <w:rFonts w:hint="eastAsia" w:ascii="仿宋_GB2312" w:hAnsi="仿宋_GB2312" w:eastAsia="仿宋_GB2312" w:cs="仿宋_GB2312"/>
          <w:caps w:val="0"/>
          <w:color w:val="000000"/>
          <w:spacing w:val="0"/>
          <w:sz w:val="32"/>
          <w:szCs w:val="32"/>
          <w:shd w:val="clear" w:fill="FFFFFF"/>
        </w:rPr>
      </w:pP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left="0" w:right="0" w:firstLine="420"/>
        <w:jc w:val="left"/>
        <w:textAlignment w:val="auto"/>
        <w:rPr>
          <w:rFonts w:hint="eastAsia" w:ascii="仿宋_GB2312" w:hAnsi="仿宋_GB2312" w:eastAsia="仿宋_GB2312" w:cs="仿宋_GB2312"/>
          <w:caps w:val="0"/>
          <w:color w:val="000000"/>
          <w:spacing w:val="0"/>
          <w:sz w:val="32"/>
          <w:szCs w:val="32"/>
          <w:shd w:val="clear" w:fill="FFFFFF"/>
        </w:rPr>
      </w:pP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left="0" w:right="0" w:firstLine="420"/>
        <w:jc w:val="left"/>
        <w:textAlignment w:val="auto"/>
        <w:rPr>
          <w:rFonts w:hint="eastAsia" w:ascii="仿宋_GB2312" w:hAnsi="仿宋_GB2312" w:eastAsia="仿宋_GB2312" w:cs="仿宋_GB2312"/>
          <w:caps w:val="0"/>
          <w:color w:val="000000"/>
          <w:spacing w:val="0"/>
          <w:sz w:val="32"/>
          <w:szCs w:val="32"/>
          <w:shd w:val="clear" w:fill="FFFFFF"/>
        </w:rPr>
      </w:pP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left="0" w:right="0" w:firstLine="420"/>
        <w:jc w:val="left"/>
        <w:textAlignment w:val="auto"/>
        <w:rPr>
          <w:rFonts w:hint="eastAsia" w:ascii="仿宋_GB2312" w:hAnsi="仿宋_GB2312" w:eastAsia="仿宋_GB2312" w:cs="仿宋_GB2312"/>
          <w:caps w:val="0"/>
          <w:color w:val="000000"/>
          <w:spacing w:val="0"/>
          <w:sz w:val="32"/>
          <w:szCs w:val="32"/>
          <w:shd w:val="clear" w:fill="FFFFFF"/>
        </w:rPr>
      </w:pP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left="0" w:right="0" w:firstLine="420"/>
        <w:jc w:val="left"/>
        <w:textAlignment w:val="auto"/>
        <w:rPr>
          <w:rFonts w:hint="eastAsia" w:ascii="仿宋_GB2312" w:hAnsi="仿宋_GB2312" w:eastAsia="仿宋_GB2312" w:cs="仿宋_GB2312"/>
          <w:caps w:val="0"/>
          <w:color w:val="000000"/>
          <w:spacing w:val="0"/>
          <w:sz w:val="32"/>
          <w:szCs w:val="32"/>
          <w:shd w:val="clear" w:fill="FFFFFF"/>
        </w:rPr>
      </w:pP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left="0" w:right="0" w:firstLine="420"/>
        <w:jc w:val="left"/>
        <w:textAlignment w:val="auto"/>
        <w:rPr>
          <w:rFonts w:hint="eastAsia" w:ascii="仿宋_GB2312" w:hAnsi="仿宋_GB2312" w:eastAsia="仿宋_GB2312" w:cs="仿宋_GB2312"/>
          <w:caps w:val="0"/>
          <w:color w:val="000000"/>
          <w:spacing w:val="0"/>
          <w:sz w:val="32"/>
          <w:szCs w:val="32"/>
          <w:shd w:val="clear" w:fill="FFFFFF"/>
        </w:rPr>
      </w:pPr>
    </w:p>
    <w:p>
      <w:pPr>
        <w:pStyle w:val="2"/>
        <w:keepNext w:val="0"/>
        <w:keepLines w:val="0"/>
        <w:pageBreakBefore w:val="0"/>
        <w:kinsoku/>
        <w:wordWrap/>
        <w:overflowPunct/>
        <w:topLinePunct w:val="0"/>
        <w:autoSpaceDE/>
        <w:autoSpaceDN/>
        <w:bidi w:val="0"/>
        <w:adjustRightInd/>
        <w:snapToGrid/>
        <w:spacing w:beforeAutospacing="0" w:afterAutospacing="0" w:line="700" w:lineRule="exact"/>
        <w:jc w:val="center"/>
        <w:textAlignment w:val="auto"/>
        <w:outlineLvl w:val="0"/>
        <w:rPr>
          <w:rFonts w:hint="eastAsia" w:ascii="方正小标宋简体" w:hAnsi="方正小标宋简体" w:eastAsia="方正小标宋简体" w:cs="方正小标宋简体"/>
          <w:b w:val="0"/>
          <w:bCs/>
          <w:sz w:val="44"/>
          <w:szCs w:val="44"/>
        </w:rPr>
      </w:pPr>
      <w:bookmarkStart w:id="81" w:name="_Toc14009"/>
      <w:bookmarkStart w:id="82" w:name="_Toc10394"/>
      <w:r>
        <w:rPr>
          <w:rFonts w:hint="eastAsia" w:ascii="方正小标宋简体" w:hAnsi="方正小标宋简体" w:eastAsia="方正小标宋简体" w:cs="方正小标宋简体"/>
          <w:b w:val="0"/>
          <w:bCs/>
          <w:sz w:val="44"/>
          <w:szCs w:val="44"/>
        </w:rPr>
        <w:t>国务院办公厅关于建立健全职工基本医疗保险</w:t>
      </w:r>
      <w:bookmarkEnd w:id="81"/>
      <w:r>
        <w:rPr>
          <w:rFonts w:hint="eastAsia" w:ascii="方正小标宋简体" w:hAnsi="方正小标宋简体" w:eastAsia="方正小标宋简体" w:cs="方正小标宋简体"/>
          <w:b w:val="0"/>
          <w:bCs/>
          <w:sz w:val="44"/>
          <w:szCs w:val="44"/>
        </w:rPr>
        <w:t>门诊共济保障机制的指导意见</w:t>
      </w:r>
      <w:bookmarkEnd w:id="82"/>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700" w:lineRule="exact"/>
        <w:ind w:left="0" w:right="0" w:firstLine="0"/>
        <w:jc w:val="center"/>
        <w:textAlignment w:val="auto"/>
        <w:rPr>
          <w:rFonts w:hint="eastAsia" w:ascii="楷体_GB2312" w:hAnsi="楷体_GB2312" w:eastAsia="楷体_GB2312" w:cs="楷体_GB2312"/>
          <w:i w:val="0"/>
          <w:caps w:val="0"/>
          <w:color w:val="333333"/>
          <w:spacing w:val="0"/>
          <w:sz w:val="28"/>
          <w:szCs w:val="28"/>
        </w:rPr>
      </w:pPr>
      <w:r>
        <w:rPr>
          <w:rFonts w:hint="eastAsia" w:ascii="楷体_GB2312" w:hAnsi="楷体_GB2312" w:eastAsia="楷体_GB2312" w:cs="楷体_GB2312"/>
          <w:i w:val="0"/>
          <w:caps w:val="0"/>
          <w:color w:val="333333"/>
          <w:spacing w:val="0"/>
          <w:sz w:val="28"/>
          <w:szCs w:val="28"/>
          <w:shd w:val="clear" w:fill="FFFFFF"/>
        </w:rPr>
        <w:t>国办发〔2021〕14号</w:t>
      </w:r>
    </w:p>
    <w:p>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4"/>
          <w:szCs w:val="24"/>
        </w:rPr>
      </w:pP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jc w:val="both"/>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fill="FFFFFF"/>
        </w:rPr>
        <w:t>各省、自治区、直辖市人民政府，国务院各部委、各直属机构：</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fill="FFFFFF"/>
        </w:rPr>
        <w:t>为进一步健全互助共济、责任共担的职工基本医疗保险（以下简称职工医保）制度，更好解决职工医保参保人员门诊保障问题，切实减轻其医疗费用负担，按照党中央、国务院关于深化医疗保障制度改革任务部署，经国务院同意，现就建立健全职工医保门诊共济保障机制提出如下意见。</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firstLine="643" w:firstLineChars="200"/>
        <w:jc w:val="both"/>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b/>
          <w:i w:val="0"/>
          <w:caps w:val="0"/>
          <w:color w:val="333333"/>
          <w:spacing w:val="0"/>
          <w:sz w:val="32"/>
          <w:szCs w:val="32"/>
          <w:shd w:val="clear" w:fill="FFFFFF"/>
        </w:rPr>
        <w:t>一、总体要求</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fill="FFFFFF"/>
        </w:rPr>
        <w:t>（一）指导思想。以习近平新时代中国特色社会主义思想为指导，全面贯彻党的十九大和十九届二中、三中、四中、五中全会精神，既尽力而为、又量力而行，坚持人人尽责、人人享有，完善制度、引导预期，加快医疗保障重点领域和关键环节改革，将门诊费用纳入职工医保统筹基金支付范围，改革职工医保个人账户，建立健全门诊共济保障机制，提高医保基金使用效率，逐步减轻参保人员医疗费用负担，实现制度更加公平更可持续。</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fill="FFFFFF"/>
        </w:rPr>
        <w:t>（二）基本原则。坚持保障基本，实行统筹共济，切实维护参保人员权益。坚持平稳过渡，保持政策连续性，确保改革前后待遇顺畅衔接。坚持协同联动，完善门诊保障机制和改进个人账户制度同步推进、逐步转换。坚持因地制宜，在整体设计基础上，鼓励地方从实际出发，积极探索增强职工医保门诊保障的有效途径。</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b/>
          <w:i w:val="0"/>
          <w:caps w:val="0"/>
          <w:color w:val="333333"/>
          <w:spacing w:val="0"/>
          <w:sz w:val="32"/>
          <w:szCs w:val="32"/>
          <w:shd w:val="clear" w:fill="FFFFFF"/>
        </w:rPr>
        <w:t>二、主要措施</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fill="FFFFFF"/>
        </w:rPr>
        <w:t>（三）增强门诊共济保障功能。建立完善职工医保普通门诊费用统筹保障机制，在做好高血压、糖尿病等群众负担较重的门诊慢性病、特殊疾病（以下统称门诊慢特病）医疗保障工作的基础上，逐步将多发病、常见病的普通门诊费用纳入统筹基金支付范围。普通门诊统筹覆盖职工医保全体参保人员，政策范围内支付比例从50%起步，随着医保基金承受能力增强逐步提高保障水平，待遇支付可适当向退休人员倾斜。针对门诊医疗服务特点，科学测算起付标准和最高支付限额，并做好与住院费用支付政策的衔接。同步完善城乡居民基本医疗保险门诊统筹，并逐步提高保障水平。</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fill="FFFFFF"/>
        </w:rPr>
        <w:t>根据医保基金承受能力，逐步扩大由统筹基金支付的门诊慢特病病种范围，将部分治疗周期长、对健康损害大、费用负担重的疾病门诊费用纳入共济保障，对部分适合在门诊开展、比住院更经济方便的特殊治疗，可参照住院待遇进行管理。不断健全门诊共济保障机制，逐步由病种保障向费用保障过渡。将符合条件的定点零售药店提供的用药保障服务纳入门诊保障范围，支持外配处方在定点零售药店结算和配药，充分发挥定点零售药店便民、可及的作用。探索将符合条件的“互联网+”医疗服务纳入保障范围。</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fill="FFFFFF"/>
        </w:rPr>
        <w:t>（四）改进个人账户计入办法。科学合理确定个人账户计入办法和计入水平，在职职工个人账户由个人缴纳的基本医疗保险费计入，计入标准原则上控制在本人参保缴费基数的2%，单位缴纳的基本医疗保险费全部计入统筹基金；退休人员个人账户原则上由统筹基金按定额划入，划入额度逐步调整到统筹地区根据本意见实施改革当年基本养老金平均水平的2%左右。个人账户的具体划入比例或标准，由省级医保部门会同财政部门按照以上原则，指导统筹地区结合本地实际研究确定。调整统筹基金和个人账户结构后，增加的统筹基金主要用于门诊共济保障，提高参保人员门诊待遇。</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fill="FFFFFF"/>
        </w:rPr>
        <w:t>（五）规范个人账户使用范围。个人账户主要用于支付参保人员在定点医疗机构或定点零售药店发生的政策范围内自付费用。可以用于支付参保人员本人及其配偶、父母、子女在定点医疗机构就医发生的由个人负担的医疗费用，以及在定点零售药店购买药品、医疗器械、医用耗材发生的由个人负担的费用。探索个人账户用于配偶、父母、子女参加城乡居民基本医疗保险等的个人缴费。个人账户不得用于公共卫生费用、体育健身或养生保健消费等不属于基本医疗保险保障范围的支出。健全完善个人账户使用管理办法，做好收支信息统计。</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fill="FFFFFF"/>
        </w:rPr>
        <w:t>（六）加强监督管理。完善管理服务措施，创新制度运行机制，引导医疗资源合理利用，确保医保基金稳定运行，充分发挥保障功能。严格执行医保基金预算管理制度，加强基金稽核制度和内控制度建设。建立对个人账户全流程动态管理机制，加强对个人账户使用、结算等环节的审核。强化对医疗行为和医疗费用的监管，严肃查处“挂床”住院、诱导住院等违法违规行为。建立医保基金安全防控机制，严厉打击欺诈骗保行为，确保基金安全高效、合理使用。创新门诊就医服务管理办法，健全医疗服务监控、分析和考核体系，引导定点医疗机构规范提供诊疗服务。加快全国统一的医疗保障信息平台建设，推进门诊费用异地就医直接结算。通过协同推动基层医疗服务体系建设、完善家庭医生签约服务、规范长期处方管理等，引导参保人员在基层就医首诊。结合完善门诊慢特病管理措施，规范基层定点医疗机构诊疗及转诊等行为。</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fill="FFFFFF"/>
        </w:rPr>
        <w:t>（七）完善与门诊共济保障相适应的付费机制。对基层医疗服务可按人头付费，积极探索将按人头付费与慢性病管理相结合；对日间手术及符合条件的门诊特殊病种，推行按病种或按疾病诊断相关分组付费；对不宜打包付费的门诊费用，可按项目付费。科学合理确定医保药品支付标准，引导医疗机构和患者主动使用疗效确切、价格合理的药品。</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b/>
          <w:i w:val="0"/>
          <w:caps w:val="0"/>
          <w:color w:val="333333"/>
          <w:spacing w:val="0"/>
          <w:sz w:val="32"/>
          <w:szCs w:val="32"/>
          <w:shd w:val="clear" w:fill="FFFFFF"/>
        </w:rPr>
        <w:t>三、组织实施</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fill="FFFFFF"/>
        </w:rPr>
        <w:t>（八）加强组织领导。建立健全职工医保门诊共济保障机制是深化医疗保障制度改革的重要内容，涉及广大参保人员切身利益，政策性和技术性强。各省级人民政府要高度重视，切实加强领导，建立协调机制，抓好工作落实。国家医保局、财政部要会同相关部门加强对各地的工作指导，上下联动，形成合力。</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fill="FFFFFF"/>
        </w:rPr>
        <w:t>（九）积极稳妥推进。各省级人民政府要按照本意见要求，统筹安排，科学决策，在2021年12月底前出台实施办法，指导各统筹地区推进落实，可设置3年左右的过渡期，逐步实现改革目标。各统筹地区要结合本地实际，进一步明确和细化政策规定，妥善处理好改革前后的政策衔接，确保参保人员待遇平稳过渡，已经开展相关工作的要进一步规范政策标准，尚未开展相关工作的要积极稳妥启动实施。</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eastAsia" w:ascii="仿宋_GB2312" w:hAnsi="仿宋_GB2312" w:eastAsia="仿宋_GB2312" w:cs="仿宋_GB2312"/>
          <w:i w:val="0"/>
          <w:caps w:val="0"/>
          <w:color w:val="333333"/>
          <w:spacing w:val="0"/>
          <w:sz w:val="32"/>
          <w:szCs w:val="32"/>
          <w:shd w:val="clear" w:fill="FFFFFF"/>
        </w:rPr>
      </w:pPr>
      <w:r>
        <w:rPr>
          <w:rFonts w:hint="eastAsia" w:ascii="仿宋_GB2312" w:hAnsi="仿宋_GB2312" w:eastAsia="仿宋_GB2312" w:cs="仿宋_GB2312"/>
          <w:i w:val="0"/>
          <w:caps w:val="0"/>
          <w:color w:val="333333"/>
          <w:spacing w:val="0"/>
          <w:sz w:val="32"/>
          <w:szCs w:val="32"/>
          <w:shd w:val="clear" w:fill="FFFFFF"/>
        </w:rPr>
        <w:t>（十）注重宣传引导。要创新宣传方式，丰富宣传手段，广泛开展宣传，准确解读政策。充分宣传建立健全职工医保门诊共济保障机制对减轻参保人员医疗费用负担、促进制度更加公平更可持续的重要作用，大力宣传医疗保险共建共享、互助共济的重要意义。要建立舆情监测和处置机制，积极主动回应社会关切，营造良好舆论氛围。</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eastAsia" w:ascii="仿宋_GB2312" w:hAnsi="仿宋_GB2312" w:eastAsia="仿宋_GB2312" w:cs="仿宋_GB2312"/>
          <w:i w:val="0"/>
          <w:caps w:val="0"/>
          <w:color w:val="333333"/>
          <w:spacing w:val="0"/>
          <w:sz w:val="32"/>
          <w:szCs w:val="32"/>
          <w:shd w:val="clear" w:fill="FFFFFF"/>
        </w:rPr>
      </w:pP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center"/>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fill="FFFFFF"/>
          <w:lang w:val="en-US" w:eastAsia="zh-CN"/>
        </w:rPr>
        <w:t xml:space="preserve">                        </w:t>
      </w:r>
      <w:r>
        <w:rPr>
          <w:rFonts w:hint="eastAsia" w:ascii="仿宋_GB2312" w:hAnsi="仿宋_GB2312" w:eastAsia="仿宋_GB2312" w:cs="仿宋_GB2312"/>
          <w:i w:val="0"/>
          <w:caps w:val="0"/>
          <w:color w:val="333333"/>
          <w:spacing w:val="0"/>
          <w:sz w:val="32"/>
          <w:szCs w:val="32"/>
          <w:shd w:val="clear" w:fill="FFFFFF"/>
        </w:rPr>
        <w:t>国务院办公厅</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fill="FFFFFF"/>
          <w:lang w:val="en-US" w:eastAsia="zh-CN"/>
        </w:rPr>
        <w:t xml:space="preserve">                           </w:t>
      </w:r>
      <w:r>
        <w:rPr>
          <w:rFonts w:hint="eastAsia" w:ascii="仿宋_GB2312" w:hAnsi="仿宋_GB2312" w:eastAsia="仿宋_GB2312" w:cs="仿宋_GB2312"/>
          <w:i w:val="0"/>
          <w:caps w:val="0"/>
          <w:color w:val="333333"/>
          <w:spacing w:val="0"/>
          <w:sz w:val="32"/>
          <w:szCs w:val="32"/>
          <w:shd w:val="clear" w:fill="FFFFFF"/>
        </w:rPr>
        <w:t>2021年4月13日</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eastAsia" w:ascii="仿宋_GB2312" w:hAnsi="仿宋_GB2312" w:eastAsia="仿宋_GB2312" w:cs="仿宋_GB2312"/>
          <w:i w:val="0"/>
          <w:caps w:val="0"/>
          <w:color w:val="333333"/>
          <w:spacing w:val="0"/>
          <w:sz w:val="32"/>
          <w:szCs w:val="32"/>
          <w:shd w:val="clear" w:fill="FFFFFF"/>
        </w:rPr>
      </w:pPr>
      <w:r>
        <w:rPr>
          <w:rFonts w:hint="eastAsia" w:ascii="仿宋_GB2312" w:hAnsi="仿宋_GB2312" w:eastAsia="仿宋_GB2312" w:cs="仿宋_GB2312"/>
          <w:i w:val="0"/>
          <w:caps w:val="0"/>
          <w:color w:val="333333"/>
          <w:spacing w:val="0"/>
          <w:sz w:val="32"/>
          <w:szCs w:val="32"/>
          <w:shd w:val="clear" w:fill="FFFFFF"/>
        </w:rPr>
        <w:t>（此件公开发布）</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eastAsia" w:ascii="仿宋_GB2312" w:hAnsi="仿宋_GB2312" w:eastAsia="仿宋_GB2312" w:cs="仿宋_GB2312"/>
          <w:i w:val="0"/>
          <w:caps w:val="0"/>
          <w:color w:val="333333"/>
          <w:spacing w:val="0"/>
          <w:sz w:val="32"/>
          <w:szCs w:val="32"/>
          <w:shd w:val="clear" w:fill="FFFFFF"/>
        </w:rPr>
      </w:pP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eastAsia" w:ascii="仿宋_GB2312" w:hAnsi="仿宋_GB2312" w:eastAsia="仿宋_GB2312" w:cs="仿宋_GB2312"/>
          <w:i w:val="0"/>
          <w:caps w:val="0"/>
          <w:color w:val="333333"/>
          <w:spacing w:val="0"/>
          <w:sz w:val="32"/>
          <w:szCs w:val="32"/>
          <w:shd w:val="clear" w:fill="FFFFFF"/>
        </w:rPr>
      </w:pP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eastAsia" w:ascii="仿宋_GB2312" w:hAnsi="仿宋_GB2312" w:eastAsia="仿宋_GB2312" w:cs="仿宋_GB2312"/>
          <w:i w:val="0"/>
          <w:caps w:val="0"/>
          <w:color w:val="333333"/>
          <w:spacing w:val="0"/>
          <w:sz w:val="32"/>
          <w:szCs w:val="32"/>
          <w:shd w:val="clear" w:fill="FFFFFF"/>
        </w:rPr>
      </w:pP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eastAsia" w:ascii="仿宋_GB2312" w:hAnsi="仿宋_GB2312" w:eastAsia="仿宋_GB2312" w:cs="仿宋_GB2312"/>
          <w:i w:val="0"/>
          <w:caps w:val="0"/>
          <w:color w:val="333333"/>
          <w:spacing w:val="0"/>
          <w:sz w:val="32"/>
          <w:szCs w:val="32"/>
          <w:shd w:val="clear" w:fill="FFFFFF"/>
        </w:rPr>
      </w:pPr>
    </w:p>
    <w:p>
      <w:pPr>
        <w:pStyle w:val="2"/>
        <w:bidi w:val="0"/>
        <w:jc w:val="center"/>
        <w:outlineLvl w:val="0"/>
        <w:rPr>
          <w:rFonts w:hint="eastAsia" w:ascii="方正小标宋简体" w:hAnsi="方正小标宋简体" w:eastAsia="方正小标宋简体" w:cs="方正小标宋简体"/>
          <w:b w:val="0"/>
          <w:bCs/>
          <w:sz w:val="52"/>
          <w:szCs w:val="52"/>
        </w:rPr>
      </w:pPr>
      <w:bookmarkStart w:id="83" w:name="_Toc27533"/>
      <w:r>
        <w:rPr>
          <w:rFonts w:hint="eastAsia" w:ascii="方正小标宋简体" w:hAnsi="方正小标宋简体" w:eastAsia="方正小标宋简体" w:cs="方正小标宋简体"/>
          <w:b w:val="0"/>
          <w:bCs/>
          <w:sz w:val="52"/>
          <w:szCs w:val="52"/>
        </w:rPr>
        <w:t>中华人民共和国生物安全法</w:t>
      </w:r>
      <w:bookmarkEnd w:id="83"/>
    </w:p>
    <w:p>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jc w:val="center"/>
        <w:textAlignment w:val="auto"/>
        <w:rPr>
          <w:rFonts w:hint="eastAsia" w:ascii="方正小标宋简体" w:hAnsi="方正小标宋简体" w:eastAsia="方正小标宋简体" w:cs="方正小标宋简体"/>
          <w:b w:val="0"/>
          <w:bCs w:val="0"/>
          <w:sz w:val="21"/>
          <w:szCs w:val="21"/>
        </w:rPr>
      </w:pPr>
      <w:r>
        <w:rPr>
          <w:rFonts w:hint="eastAsia" w:ascii="方正小标宋简体" w:hAnsi="方正小标宋简体" w:eastAsia="方正小标宋简体" w:cs="方正小标宋简体"/>
          <w:b w:val="0"/>
          <w:bCs w:val="0"/>
          <w:sz w:val="21"/>
          <w:szCs w:val="21"/>
        </w:rPr>
        <w:t>（2020年10月17日第十三届全国人民代表大会常务委员会第二十二次会议通过）</w:t>
      </w:r>
    </w:p>
    <w:p>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jc w:val="both"/>
        <w:textAlignment w:val="auto"/>
        <w:rPr>
          <w:rStyle w:val="15"/>
          <w:rFonts w:hint="eastAsia" w:ascii="仿宋_GB2312" w:hAnsi="仿宋_GB2312" w:eastAsia="仿宋_GB2312" w:cs="仿宋_GB2312"/>
          <w:sz w:val="30"/>
          <w:szCs w:val="30"/>
        </w:rPr>
      </w:pPr>
    </w:p>
    <w:p>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jc w:val="center"/>
        <w:textAlignment w:val="auto"/>
        <w:rPr>
          <w:rFonts w:hint="eastAsia" w:ascii="仿宋_GB2312" w:hAnsi="仿宋_GB2312" w:eastAsia="仿宋_GB2312" w:cs="仿宋_GB2312"/>
          <w:sz w:val="52"/>
          <w:szCs w:val="52"/>
        </w:rPr>
      </w:pPr>
      <w:r>
        <w:rPr>
          <w:rStyle w:val="15"/>
          <w:rFonts w:hint="eastAsia" w:ascii="仿宋_GB2312" w:hAnsi="仿宋_GB2312" w:eastAsia="仿宋_GB2312" w:cs="仿宋_GB2312"/>
          <w:sz w:val="52"/>
          <w:szCs w:val="52"/>
        </w:rPr>
        <w:t>目</w:t>
      </w:r>
      <w:r>
        <w:rPr>
          <w:rStyle w:val="15"/>
          <w:rFonts w:hint="eastAsia" w:ascii="仿宋_GB2312" w:hAnsi="仿宋_GB2312" w:eastAsia="仿宋_GB2312" w:cs="仿宋_GB2312"/>
          <w:sz w:val="52"/>
          <w:szCs w:val="52"/>
          <w:lang w:val="en-US" w:eastAsia="zh-CN"/>
        </w:rPr>
        <w:t xml:space="preserve">  </w:t>
      </w:r>
      <w:r>
        <w:rPr>
          <w:rStyle w:val="15"/>
          <w:rFonts w:hint="eastAsia" w:ascii="仿宋_GB2312" w:hAnsi="仿宋_GB2312" w:eastAsia="仿宋_GB2312" w:cs="仿宋_GB2312"/>
          <w:sz w:val="52"/>
          <w:szCs w:val="52"/>
        </w:rPr>
        <w:t>录</w:t>
      </w:r>
    </w:p>
    <w:p>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600" w:hanging="640" w:hanging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第一章　总则</w:t>
      </w:r>
    </w:p>
    <w:p>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600" w:hanging="640" w:hanging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第二章　生物安全风险防控体制</w:t>
      </w:r>
    </w:p>
    <w:p>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600" w:hanging="640" w:hanging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第三章　防控重大新发突发传染病、动植物疫情</w:t>
      </w:r>
    </w:p>
    <w:p>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600" w:hanging="640" w:hanging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第四章　生物技术研究、开发与应用安全</w:t>
      </w:r>
    </w:p>
    <w:p>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600" w:hanging="640" w:hanging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第五章　病原微生物实验室生物安全</w:t>
      </w:r>
    </w:p>
    <w:p>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600" w:hanging="640" w:hanging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第六章　人类遗传资源与生物资源安全</w:t>
      </w:r>
    </w:p>
    <w:p>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600" w:hanging="640" w:hanging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第七章　防范生物恐怖与生物武器威胁</w:t>
      </w:r>
    </w:p>
    <w:p>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600" w:hanging="640" w:hanging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第八章　生物安全能力建设</w:t>
      </w:r>
    </w:p>
    <w:p>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600" w:hanging="640" w:hanging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第九章　法律责任</w:t>
      </w:r>
    </w:p>
    <w:p>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600" w:hanging="640" w:hanging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第十章　附则</w:t>
      </w:r>
    </w:p>
    <w:p>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both"/>
        <w:textAlignment w:val="auto"/>
        <w:rPr>
          <w:rStyle w:val="15"/>
          <w:rFonts w:hint="eastAsia" w:ascii="仿宋_GB2312" w:hAnsi="仿宋_GB2312" w:eastAsia="仿宋_GB2312" w:cs="仿宋_GB2312"/>
          <w:sz w:val="32"/>
          <w:szCs w:val="32"/>
        </w:rPr>
      </w:pPr>
    </w:p>
    <w:p>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auto"/>
        <w:rPr>
          <w:rFonts w:hint="eastAsia" w:ascii="仿宋_GB2312" w:hAnsi="仿宋_GB2312" w:eastAsia="仿宋_GB2312" w:cs="仿宋_GB2312"/>
          <w:sz w:val="32"/>
          <w:szCs w:val="32"/>
        </w:rPr>
      </w:pPr>
      <w:r>
        <w:rPr>
          <w:rStyle w:val="15"/>
          <w:rFonts w:hint="eastAsia" w:ascii="仿宋_GB2312" w:hAnsi="仿宋_GB2312" w:eastAsia="仿宋_GB2312" w:cs="仿宋_GB2312"/>
          <w:sz w:val="32"/>
          <w:szCs w:val="32"/>
        </w:rPr>
        <w:t>第一章　总则</w:t>
      </w:r>
    </w:p>
    <w:p>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第一条　为了维护国家安全，防范和应对生物安全风险，保障人民生命健康，保护生物资源和生态环境，促进生物技术健康发展，推动构建人类命运共同体，实现人与自然和谐共生，制定本法。</w:t>
      </w:r>
    </w:p>
    <w:p>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第二条　本法所称生物安全，是指国家有效防范和应对危险生物因子及相关因素威胁，生物技术能够稳定健康发展，人民生命健康和生态系统相对处于没有危险和不受威胁的状态，生物领域具备维护国家安全和持续发展的能力。</w:t>
      </w:r>
    </w:p>
    <w:p>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从事下列活动，适用本法：</w:t>
      </w:r>
    </w:p>
    <w:p>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（一）防控重大新发突发传染病、动植物疫情；</w:t>
      </w:r>
    </w:p>
    <w:p>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（二）生物技术研究、开发与应用；</w:t>
      </w:r>
    </w:p>
    <w:p>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（三）病原微生物实验室生物安全管理；</w:t>
      </w:r>
    </w:p>
    <w:p>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（四）人类遗传资源与生物资源安全管理；</w:t>
      </w:r>
    </w:p>
    <w:p>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（五）防范外来物种入侵与保护生物多样性；</w:t>
      </w:r>
    </w:p>
    <w:p>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（六）应对微生物耐药；</w:t>
      </w:r>
    </w:p>
    <w:p>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（七）防范生物恐怖袭击与防御生物武器威胁；</w:t>
      </w:r>
    </w:p>
    <w:p>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（八）其他与生物安全相关的活动。</w:t>
      </w:r>
    </w:p>
    <w:p>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第三条　生物安全是国家安全的重要组成部分。维护生物安全应当贯彻总体国家安全观，统筹发展和安全，坚持以人为本、风险预防、分类管理、协同配合的原则。</w:t>
      </w:r>
    </w:p>
    <w:p>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第四条　坚持中国共产党对国家生物安全工作的领导，建立健全国家生物安全领导体制，加强国家生物安全风险防控和治理体系建设，提高国家生物安全治理能力。</w:t>
      </w:r>
    </w:p>
    <w:p>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第五条　国家鼓励生物科技创新，加强生物安全基础设施和生物科技人才队伍建设，支持生物产业发展，以创新驱动提升生物科技水平，增强生物安全保障能力。</w:t>
      </w:r>
    </w:p>
    <w:p>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第六条　国家加强生物安全领域的国际合作，履行中华人民共和国缔结或者参加的国际条约规定的义务，支持参与生物科技交流合作与生物安全事件国际救援，积极参与生物安全国际规则的研究与制定，推动完善全球生物安全治理。</w:t>
      </w:r>
    </w:p>
    <w:p>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第七条　各级人民政府及其有关部门应当加强生物安全法律法规和生物安全知识宣传普及工作，引导基层群众性自治组织、社会组织开展生物安全法律法规和生物安全知识宣传，促进全社会生物安全意识的提升。</w:t>
      </w:r>
    </w:p>
    <w:p>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相关科研院校、医疗机构以及其他企业事业单位应当将生物安全法律法规和生物安全知识纳入教育培训内容，加强学生、从业人员生物安全意识和伦理意识的培养。</w:t>
      </w:r>
    </w:p>
    <w:p>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新闻媒体应当开展生物安全法律法规和生物安全知识公益宣传，对生物安全违法行为进行舆论监督，增强公众维护生物安全的社会责任意识。</w:t>
      </w:r>
    </w:p>
    <w:p>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第八条　任何单位和个人不得危害生物安全。</w:t>
      </w:r>
    </w:p>
    <w:p>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任何单位和个人有权举报危害生物安全的行为；接到举报的部门应当及时依法处理。</w:t>
      </w:r>
    </w:p>
    <w:p>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第九条　对在生物安全工作中做出突出贡献的单位和个人，县级以上人民政府及其有关部门按照国家规定予以表彰和奖励。</w:t>
      </w:r>
    </w:p>
    <w:p>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auto"/>
        <w:rPr>
          <w:rFonts w:hint="eastAsia" w:ascii="仿宋_GB2312" w:hAnsi="仿宋_GB2312" w:eastAsia="仿宋_GB2312" w:cs="仿宋_GB2312"/>
          <w:sz w:val="32"/>
          <w:szCs w:val="32"/>
        </w:rPr>
      </w:pPr>
      <w:r>
        <w:rPr>
          <w:rStyle w:val="15"/>
          <w:rFonts w:hint="eastAsia" w:ascii="仿宋_GB2312" w:hAnsi="仿宋_GB2312" w:eastAsia="仿宋_GB2312" w:cs="仿宋_GB2312"/>
          <w:sz w:val="32"/>
          <w:szCs w:val="32"/>
        </w:rPr>
        <w:t>第二章　生物安全风险防控体制</w:t>
      </w:r>
    </w:p>
    <w:p>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第十条　中央国家安全领导机构负责国家生物安全工作的决策和议事协调，研究制定、指导实施国家生物安全战略和有关重大方针政策，统筹协调国家生物安全的重大事项和重要工作，建立国家生物安全工作协调机制。</w:t>
      </w:r>
    </w:p>
    <w:p>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省、自治区、直辖市建立生物安全工作协调机制，组织协调、督促推进本行政区域内生物安全相关工作。</w:t>
      </w:r>
    </w:p>
    <w:p>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第十一条　国家生物安全工作协调机制由国务院卫生健康、农业农村、科学技术、外交等主管部门和有关军事机关组成，分析研判国家生物安全形势，组织协调、督促推进国家生物安全相关工作。国家生物安全工作协调机制设立办公室，负责协调机制的日常工作。</w:t>
      </w:r>
    </w:p>
    <w:p>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国家生物安全工作协调机制成员单位和国务院其他有关部门根据职责分工，负责生物安全相关工作。</w:t>
      </w:r>
    </w:p>
    <w:p>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第十二条　国家生物安全工作协调机制设立专家委员会，为国家生物安全战略研究、政策制定及实施提供决策咨询。</w:t>
      </w:r>
    </w:p>
    <w:p>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国务院有关部门组织建立相关领域、行业的生物安全技术咨询专家委员会，为生物安全工作提供咨询、评估、论证等技术支撑。</w:t>
      </w:r>
    </w:p>
    <w:p>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第十三条　地方各级人民政府对本行政区域内生物安全工作负责。</w:t>
      </w:r>
    </w:p>
    <w:p>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县级以上地方人民政府有关部门根据职责分工，负责生物安全相关工作。</w:t>
      </w:r>
    </w:p>
    <w:p>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基层群众性自治组织应当协助地方人民政府以及有关部门做好生物安全风险防控、应急处置和宣传教育等工作。</w:t>
      </w:r>
    </w:p>
    <w:p>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有关单位和个人应当配合做好生物安全风险防控和应急处置等工作。</w:t>
      </w:r>
    </w:p>
    <w:p>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第十五条　国家建立生物安全风险调查评估制度。国家生物安全工作协调机制应当根据风险监测的数据、资料等信息，定期组织开展生物安全风险调查评估。</w:t>
      </w:r>
    </w:p>
    <w:p>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有下列情形之一的，有关部门应当及时开展生物安全风险调查评估，依法采取必要的风险防控措施：</w:t>
      </w:r>
    </w:p>
    <w:p>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（一）通过风险监测或者接到举报发现可能存在生物安全风险；</w:t>
      </w:r>
    </w:p>
    <w:p>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（二）为确定监督管理的重点领域、重点项目，制定、调整生物安全相关名录或者清单；</w:t>
      </w:r>
    </w:p>
    <w:p>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（三）发生重大新发突发传染病、动植物疫情等危害生物安全的事件；</w:t>
      </w:r>
    </w:p>
    <w:p>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（四）需要调查评估的其他情形。</w:t>
      </w:r>
    </w:p>
    <w:p>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第十六条　国家建立生物安全信息共享制度。国家生物安全工作协调机制组织建立统一的国家生物安全信息平台，有关部门应当将生物安全数据、资料等信息汇交国家生物安全信息平台，实现信息共享。</w:t>
      </w:r>
    </w:p>
    <w:p>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第十七条　国家建立生物安全信息发布制度。国家生物安全总体情况、重大生物安全风险警示信息、重大生物安全事件及其调查处理信息等重大生物安全信息，由国家生物安全工作协调机制成员单位根据职责分工发布；其他生物安全信息由国务院有关部门和县级以上地方人民政府及其有关部门根据职责权限发布。</w:t>
      </w:r>
    </w:p>
    <w:p>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任何单位和个人不得编造、散布虚假的生物安全信息。</w:t>
      </w:r>
    </w:p>
    <w:p>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第十八条　国家建立生物安全名录和清单制度。国务院及其有关部门根据生物安全工作需要，对涉及生物安全的材料、设备、技术、活动、重要生物资源数据、传染病、动植物疫病、外来入侵物种等制定、公布名录或者清单，并动态调整。</w:t>
      </w:r>
    </w:p>
    <w:p>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第十九条　国家建立生物安全标准制度。国务院标准化主管部门和国务院其他有关部门根据职责分工，制定和完善生物安全领域相关标准。</w:t>
      </w:r>
    </w:p>
    <w:p>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国家生物安全工作协调机制组织有关部门加强不同领域生物安全标准的协调和衔接，建立和完善生物安全标准体系。</w:t>
      </w:r>
    </w:p>
    <w:p>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第二十条　国家建立生物安全审查制度。对影响或者可能影响国家安全的生物领域重大事项和活动，由国务院有关部门进行生物安全审查，有效防范和化解生物安全风险。</w:t>
      </w:r>
    </w:p>
    <w:p>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第二十一条　国家建立统一领导、协同联动、有序高效的生物安全应急制度。</w:t>
      </w:r>
    </w:p>
    <w:p>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国务院有关部门应当组织制定相关领域、行业生物安全事件应急预案，根据应急预案和统一部署开展应急演练、应急处置、应急救援和事后恢复等工作。</w:t>
      </w:r>
    </w:p>
    <w:p>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县级以上地方人民政府及其有关部门应当制定并组织、指导和督促相关企业事业单位制定生物安全事件应急预案，加强应急准备、人员培训和应急演练，开展生物安全事件应急处置、应急救援和事后恢复等工作。</w:t>
      </w:r>
    </w:p>
    <w:p>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中国人民解放军、中国人民武装警察部队按照中央军事委员会的命令，依法参加生物安全事件应急处置和应急救援工作。</w:t>
      </w:r>
    </w:p>
    <w:p>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第二十二条　国家建立生物安全事件调查溯源制度。发生重大新发突发传染病、动植物疫情和不明原因的生物安全事件，国家生物安全工作协调机制应当组织开展调查溯源，确定事件性质，全面评估事件影响，提出意见建议。</w:t>
      </w:r>
    </w:p>
    <w:p>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第二十三条　国家建立首次进境或者暂停后恢复进境的动植物、动植物产品、高风险生物因子国家准入制度。</w:t>
      </w:r>
    </w:p>
    <w:p>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进出境的人员、运输工具、集装箱、货物、物品、包装物和国际航行船舶压舱水排放等应当符合我国生物安全管理要求。</w:t>
      </w:r>
    </w:p>
    <w:p>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海关对发现的进出境和过境生物安全风险，应当依法处置。经评估为生物安全高风险的人员、运输工具、货物、物品等，应当从指定的国境口岸进境，并采取严格的风险防控措施。</w:t>
      </w:r>
    </w:p>
    <w:p>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第二十四条　国家建立境外重大生物安全事件应对制度。境外发生重大生物安全事件的，海关依法采取生物安全紧急防控措施，加强证件核验，提高查验比例，暂停相关人员、运输工具、货物、物品等进境。必要时经国务院同意，可以采取暂时关闭有关口岸、封锁有关国境等措施。</w:t>
      </w:r>
    </w:p>
    <w:p>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第二十五条　县级以上人民政府有关部门应当依法开展生物安全监督检查工作，被检查单位和个人应当配合，如实说明情况，提供资料，不得拒绝、阻挠。</w:t>
      </w:r>
    </w:p>
    <w:p>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涉及专业技术要求较高、执法业务难度较大的监督检查工作，应当有生物安全专业技术人员参加。</w:t>
      </w:r>
    </w:p>
    <w:p>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第二十六条　县级以上人民政府有关部门实施生物安全监督检查，可以依法采取下列措施：</w:t>
      </w:r>
    </w:p>
    <w:p>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（一）进入被检查单位、地点或者涉嫌实施生物安全违法行为的场所进行现场监测、勘查、检查或者核查；</w:t>
      </w:r>
    </w:p>
    <w:p>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（二）向有关单位和个人了解情况；</w:t>
      </w:r>
    </w:p>
    <w:p>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（三）查阅、复制有关文件、资料、档案、记录、凭证等；</w:t>
      </w:r>
    </w:p>
    <w:p>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（四）查封涉嫌实施生物安全违法行为的场所、设施；</w:t>
      </w:r>
    </w:p>
    <w:p>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（五）扣押涉嫌实施生物安全违法行为的工具、设备以及相关物品；</w:t>
      </w:r>
    </w:p>
    <w:p>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（六）法律法规规定的其他措施。</w:t>
      </w:r>
    </w:p>
    <w:p>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有关单位和个人的生物安全违法信息应当依法纳入全国信用信息共享平台。</w:t>
      </w:r>
    </w:p>
    <w:p>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auto"/>
        <w:rPr>
          <w:rFonts w:hint="eastAsia" w:ascii="仿宋_GB2312" w:hAnsi="仿宋_GB2312" w:eastAsia="仿宋_GB2312" w:cs="仿宋_GB2312"/>
          <w:sz w:val="32"/>
          <w:szCs w:val="32"/>
        </w:rPr>
      </w:pPr>
      <w:r>
        <w:rPr>
          <w:rStyle w:val="15"/>
          <w:rFonts w:hint="eastAsia" w:ascii="仿宋_GB2312" w:hAnsi="仿宋_GB2312" w:eastAsia="仿宋_GB2312" w:cs="仿宋_GB2312"/>
          <w:sz w:val="32"/>
          <w:szCs w:val="32"/>
        </w:rPr>
        <w:t>第三章　防控重大新发突发</w:t>
      </w:r>
    </w:p>
    <w:p>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firstLine="643" w:firstLineChars="200"/>
        <w:jc w:val="both"/>
        <w:textAlignment w:val="auto"/>
        <w:rPr>
          <w:rFonts w:hint="eastAsia" w:ascii="仿宋_GB2312" w:hAnsi="仿宋_GB2312" w:eastAsia="仿宋_GB2312" w:cs="仿宋_GB2312"/>
          <w:sz w:val="32"/>
          <w:szCs w:val="32"/>
        </w:rPr>
      </w:pPr>
      <w:r>
        <w:rPr>
          <w:rStyle w:val="15"/>
          <w:rFonts w:hint="eastAsia" w:ascii="仿宋_GB2312" w:hAnsi="仿宋_GB2312" w:eastAsia="仿宋_GB2312" w:cs="仿宋_GB2312"/>
          <w:sz w:val="32"/>
          <w:szCs w:val="32"/>
        </w:rPr>
        <w:t>传染病、动植物疫情</w:t>
      </w:r>
    </w:p>
    <w:p>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第二十七条　国务院卫生健康、农业农村、林业草原、海关、生态环境主管部门应当建立新发突发传染病、动植物疫情、进出境检疫、生物技术环境安全监测网络，组织监测站点布局、建设，完善监测信息报告系统，开展主动监测和病原检测，并纳入国家生物安全风险监测预警体系。</w:t>
      </w:r>
    </w:p>
    <w:p>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第二十八条　疾病预防控制机构、动物疫病预防控制机构、植物病虫害预防控制机构（以下统称专业机构）应当对传染病、动植物疫病和列入监测范围的不明原因疾病开展主动监测，收集、分析、报告监测信息，预测新发突发传染病、动植物疫病的发生、流行趋势。</w:t>
      </w:r>
    </w:p>
    <w:p>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国务院有关部门、县级以上地方人民政府及其有关部门应当根据预测和职责权限及时发布预警，并采取相应的防控措施。</w:t>
      </w:r>
    </w:p>
    <w:p>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第二十九条　任何单位和个人发现传染病、动植物疫病的，应当及时向医疗机构、有关专业机构或者部门报告。</w:t>
      </w:r>
    </w:p>
    <w:p>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医疗机构、专业机构及其工作人员发现传染病、动植物疫病或者不明原因的聚集性疾病的，应当及时报告，并采取保护性措施。</w:t>
      </w:r>
    </w:p>
    <w:p>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依法应当报告的，任何单位和个人不得瞒报、谎报、缓报、漏报，不得授意他人瞒报、谎报、缓报，不得阻碍他人报告。</w:t>
      </w:r>
    </w:p>
    <w:p>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第三十条　国家建立重大新发突发传染病、动植物疫情联防联控机制。</w:t>
      </w:r>
    </w:p>
    <w:p>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发生重大新发突发传染病、动植物疫情，应当依照有关法律法规和应急预案的规定及时采取控制措施；国务院卫生健康、农业农村、林业草原主管部门应当立即组织疫情会商研判，将会商研判结论向中央国家安全领导机构和国务院报告，并通报国家生物安全工作协调机制其他成员单位和国务院其他有关部门。</w:t>
      </w:r>
    </w:p>
    <w:p>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发生重大新发突发传染病、动植物疫情，地方各级人民政府统一履行本行政区域内疫情防控职责，加强组织领导，开展群防群控、医疗救治，动员和鼓励社会力量依法有序参与疫情防控工作。</w:t>
      </w:r>
    </w:p>
    <w:p>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第三十一条　国家加强国境、口岸传染病和动植物疫情联合防控能力建设，建立传染病、动植物疫情防控国际合作网络，尽早发现、控制重大新发突发传染病、动植物疫情。</w:t>
      </w:r>
    </w:p>
    <w:p>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第三十二条　国家保护野生动物，加强动物防疫，防止动物源性传染病传播。</w:t>
      </w:r>
    </w:p>
    <w:p>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第三十三条　国家加强对抗生素药物等抗微生物药物使用和残留的管理，支持应对微生物耐药的基础研究和科技攻关。</w:t>
      </w:r>
    </w:p>
    <w:p>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级以上人民政府卫生健康主管部门应当加强对医疗机构合理用药的指导和监督，采取措施防止抗微生物药物的不合理使用。县级以上人民政府农业农村、林业草原主管部门应当加强对农业生产中合理用药的指导和监督，采取措施防止抗微生物药物的不合理使用，降低在农业生产环境中的残留。</w:t>
      </w:r>
    </w:p>
    <w:p>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国务院卫生健康、农业农村、林业草原、生态环境等主管部门和药品监督管理部门应当根据职责分工，评估抗微生物药物残留对人体健康、环境的危害，建立抗微生物药物污染物指标评价体系。</w:t>
      </w:r>
    </w:p>
    <w:p>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auto"/>
        <w:rPr>
          <w:rFonts w:hint="eastAsia" w:ascii="仿宋_GB2312" w:hAnsi="仿宋_GB2312" w:eastAsia="仿宋_GB2312" w:cs="仿宋_GB2312"/>
          <w:sz w:val="32"/>
          <w:szCs w:val="32"/>
        </w:rPr>
      </w:pPr>
      <w:r>
        <w:rPr>
          <w:rStyle w:val="15"/>
          <w:rFonts w:hint="eastAsia" w:ascii="仿宋_GB2312" w:hAnsi="仿宋_GB2312" w:eastAsia="仿宋_GB2312" w:cs="仿宋_GB2312"/>
          <w:sz w:val="32"/>
          <w:szCs w:val="32"/>
        </w:rPr>
        <w:t>第四章　生物技术研究、开发与应用安全</w:t>
      </w:r>
    </w:p>
    <w:p>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第三十四条　国家加强对生物技术研究、开发与应用活动的安全管理，禁止从事危及公众健康、损害生物资源、破坏生态系统和生物多样性等危害生物安全的生物技术研究、开发与应用活动。</w:t>
      </w:r>
    </w:p>
    <w:p>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从事生物技术研究、开发与应用活动，应当符合伦理原则。</w:t>
      </w:r>
    </w:p>
    <w:p>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第三十五条　从事生物技术研究、开发与应用活动的单位应当对本单位生物技术研究、开发与应用的安全负责，采取生物安全风险防控措施，制定生物安全培训、跟踪检查、定期报告等工作制度，强化过程管理。</w:t>
      </w:r>
    </w:p>
    <w:p>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第三十六条　国家对生物技术研究、开发活动实行分类管理。根据对公众健康、工业农业、生态环境等造成危害的风险程度，将生物技术研究、开发活动分为高风险、中风险、低风险三类。</w:t>
      </w:r>
    </w:p>
    <w:p>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生物技术研究、开发活动风险分类标准及名录由国务院科学技术、卫生健康、农业农村等主管部门根据职责分工，会同国务院其他有关部门制定、调整并公布。</w:t>
      </w:r>
    </w:p>
    <w:p>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第三十七条　从事生物技术研究、开发活动，应当遵守国家生物技术研究开发安全管理规范。</w:t>
      </w:r>
    </w:p>
    <w:p>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从事生物技术研究、开发活动，应当进行风险类别判断，密切关注风险变化，及时采取应对措施。</w:t>
      </w:r>
    </w:p>
    <w:p>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第三十八条　从事高风险、中风险生物技术研究、开发活动，应当由在我国境内依法成立的法人组织进行，并依法取得批准或者进行备案。</w:t>
      </w:r>
    </w:p>
    <w:p>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从事高风险、中风险生物技术研究、开发活动，应当进行风险评估，制定风险防控计划和生物安全事件应急预案，降低研究、开发活动实施的风险。</w:t>
      </w:r>
    </w:p>
    <w:p>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第三十九条　国家对涉及生物安全的重要设备和特殊生物因子实行追溯管理。购买或者引进列入管控清单的重要设备和特殊生物因子，应当进行登记，确保可追溯，并报国务院有关部门备案。</w:t>
      </w:r>
    </w:p>
    <w:p>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个人不得购买或者持有列入管控清单的重要设备和特殊生物因子。</w:t>
      </w:r>
    </w:p>
    <w:p>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第四十条　从事生物医学新技术临床研究，应当通过伦理审查，并在具备相应条件的医疗机构内进行；进行人体临床研究操作的，应当由符合相应条件的卫生专业技术人员执行。</w:t>
      </w:r>
    </w:p>
    <w:p>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第四十一条　国务院有关部门依法对生物技术应用活动进行跟踪评估，发现存在生物安全风险的，应当及时采取有效补救和管控措施。</w:t>
      </w:r>
    </w:p>
    <w:p>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auto"/>
        <w:rPr>
          <w:rFonts w:hint="eastAsia" w:ascii="仿宋_GB2312" w:hAnsi="仿宋_GB2312" w:eastAsia="仿宋_GB2312" w:cs="仿宋_GB2312"/>
          <w:sz w:val="32"/>
          <w:szCs w:val="32"/>
        </w:rPr>
      </w:pPr>
      <w:r>
        <w:rPr>
          <w:rStyle w:val="15"/>
          <w:rFonts w:hint="eastAsia" w:ascii="仿宋_GB2312" w:hAnsi="仿宋_GB2312" w:eastAsia="仿宋_GB2312" w:cs="仿宋_GB2312"/>
          <w:sz w:val="32"/>
          <w:szCs w:val="32"/>
        </w:rPr>
        <w:t>第五章　病原微生物实验室生物安全</w:t>
      </w:r>
    </w:p>
    <w:p>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第四十二条　国家加强对病原微生物实验室生物安全的管理，制定统一的实验室生物安全标准。病原微生物实验室应当符合生物安全国家标准和要求。</w:t>
      </w:r>
    </w:p>
    <w:p>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从事病原微生物实验活动，应当严格遵守有关国家标准和实验室技术规范、操作规程，采取安全防范措施。</w:t>
      </w:r>
    </w:p>
    <w:p>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第四十三条　国家根据病原微生物的传染性、感染后对人和动物的个体或者群体的危害程度，对病原微生物实行分类管理。</w:t>
      </w:r>
    </w:p>
    <w:p>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从事高致病性或者疑似高致病性病原微生物样本采集、保藏、运输活动，应当具备相应条件，符合生物安全管理规范。具体办法由国务院卫生健康、农业农村主管部门制定。</w:t>
      </w:r>
    </w:p>
    <w:p>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第四十四条　设立病原微生物实验室，应当依法取得批准或者进行备案。</w:t>
      </w:r>
    </w:p>
    <w:p>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个人不得设立病原微生物实验室或者从事病原微生物实验活动。</w:t>
      </w:r>
    </w:p>
    <w:p>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第四十五条　国家根据对病原微生物的生物安全防护水平，对病原微生物实验室实行分等级管理。</w:t>
      </w:r>
    </w:p>
    <w:p>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从事病原微生物实验活动应当在相应等级的实验室进行。低等级病原微生物实验室不得从事国家病原微生物目录规定应当在高等级病原微生物实验室进行的病原微生物实验活动。</w:t>
      </w:r>
    </w:p>
    <w:p>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第四十六条　高等级病原微生物实验室从事高致病性或者疑似高致病性病原微生物实验活动，应当经省级以上人民政府卫生健康或者农业农村主管部门批准，并将实验活动情况向批准部门报告。</w:t>
      </w:r>
    </w:p>
    <w:p>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对我国尚未发现或者已经宣布消灭的病原微生物，未经批准不得从事相关实验活动。</w:t>
      </w:r>
    </w:p>
    <w:p>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第四十七条　病原微生物实验室应当采取措施，加强对实验动物的管理，防止实验动物逃逸，对使用后的实验动物按照国家规定进行无害化处理，实现实验动物可追溯。禁止将使用后的实验动物流入市场。</w:t>
      </w:r>
    </w:p>
    <w:p>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病原微生物实验室应当加强对实验活动废弃物的管理，依法对废水、废气以及其他废弃物进行处置，采取措施防止污染。</w:t>
      </w:r>
    </w:p>
    <w:p>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第四十八条　病原微生物实验室的设立单位负责实验室的生物安全管理，制定科学、严格的管理制度，定期对有关生物安全规定的落实情况进行检查，对实验室设施、设备、材料等进行检查、维护和更新，确保其符合国家标准。</w:t>
      </w:r>
    </w:p>
    <w:p>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病原微生物实验室设立单位的法定代表人和实验室负责人对实验室的生物安全负责。</w:t>
      </w:r>
    </w:p>
    <w:p>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第四十九条　病原微生物实验室的设立单位应当建立和完善安全保卫制度，采取安全保卫措施，保障实验室及其病原微生物的安全。</w:t>
      </w:r>
    </w:p>
    <w:p>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国家加强对高等级病原微生物实验室的安全保卫。高等级病原微生物实验室应当接受公安机关等部门有关实验室安全保卫工作的监督指导，严防高致病性病原微生物泄漏、丢失和被盗、被抢。</w:t>
      </w:r>
    </w:p>
    <w:p>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国家建立高等级病原微生物实验室人员进入审核制度。进入高等级病原微生物实验室的人员应当经实验室负责人批准。对可能影响实验室生物安全的，不予批准；对批准进入的，应当采取安全保障措施。</w:t>
      </w:r>
    </w:p>
    <w:p>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第五十条　病原微生物实验室的设立单位应当制定生物安全事件应急预案，定期组织开展人员培训和应急演练。发生高致病性病原微生物泄漏、丢失和被盗、被抢或者其他生物安全风险的，应当按照应急预案的规定及时采取控制措施，并按照国家规定报告。</w:t>
      </w:r>
    </w:p>
    <w:p>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第五十一条　病原微生物实验室所在地省级人民政府及其卫生健康主管部门应当加强实验室所在地感染性疾病医疗资源配置，提高感染性疾病医疗救治能力。</w:t>
      </w:r>
    </w:p>
    <w:p>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第五十二条　企业对涉及病原微生物操作的生产车间的生物安全管理，依照有关病原微生物实验室的规定和其他生物安全管理规范进行。</w:t>
      </w:r>
    </w:p>
    <w:p>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涉及生物毒素、植物有害生物及其他生物因子操作的生物安全实验室的建设和管理，参照有关病原微生物实验室的规定执行。</w:t>
      </w:r>
    </w:p>
    <w:p>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auto"/>
        <w:rPr>
          <w:rFonts w:hint="eastAsia" w:ascii="仿宋_GB2312" w:hAnsi="仿宋_GB2312" w:eastAsia="仿宋_GB2312" w:cs="仿宋_GB2312"/>
          <w:sz w:val="32"/>
          <w:szCs w:val="32"/>
        </w:rPr>
      </w:pPr>
      <w:r>
        <w:rPr>
          <w:rStyle w:val="15"/>
          <w:rFonts w:hint="eastAsia" w:ascii="仿宋_GB2312" w:hAnsi="仿宋_GB2312" w:eastAsia="仿宋_GB2312" w:cs="仿宋_GB2312"/>
          <w:sz w:val="32"/>
          <w:szCs w:val="32"/>
        </w:rPr>
        <w:t>第六章　人类遗传资源与生物资源安全</w:t>
      </w:r>
    </w:p>
    <w:p>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第五十三条　国家加强对我国人类遗传资源和生物资源采集、保藏、利用、对外提供等活动的管理和监督，保障人类遗传资源和生物资源安全。</w:t>
      </w:r>
    </w:p>
    <w:p>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国家对我国人类遗传资源和生物资源享有主权。</w:t>
      </w:r>
    </w:p>
    <w:p>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第五十四条　国家开展人类遗传资源和生物资源调查。</w:t>
      </w:r>
    </w:p>
    <w:p>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国务院科学技术主管部门组织开展我国人类遗传资源调查，制定重要遗传家系和特定地区人类遗传资源申报登记办法。</w:t>
      </w:r>
    </w:p>
    <w:p>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国务院科学技术、自然资源、生态环境、卫生健康、农业农村、林业草原、中医药主管部门根据职责分工，组织开展生物资源调查，制定重要生物资源申报登记办法。</w:t>
      </w:r>
    </w:p>
    <w:p>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第五十五条　采集、保藏、利用、对外提供我国人类遗传资源，应当符合伦理原则，不得危害公众健康、国家安全和社会公共利益。</w:t>
      </w:r>
    </w:p>
    <w:p>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第五十六条　从事下列活动，应当经国务院科学技术主管部门批准：</w:t>
      </w:r>
    </w:p>
    <w:p>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（一）采集我国重要遗传家系、特定地区人类遗传资源或者采集国务院科学技术主管部门规定的种类、数量的人类遗传资源；</w:t>
      </w:r>
    </w:p>
    <w:p>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（二）保藏我国人类遗传资源；</w:t>
      </w:r>
    </w:p>
    <w:p>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（三）利用我国人类遗传资源开展国际科学研究合作；</w:t>
      </w:r>
    </w:p>
    <w:p>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（四）将我国人类遗传资源材料运送、邮寄、携带出境。</w:t>
      </w:r>
    </w:p>
    <w:p>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前款规定不包括以临床诊疗、采供血服务、查处违法犯罪、兴奋剂检测和殡葬等为目的采集、保藏人类遗传资源及开展的相关活动。</w:t>
      </w:r>
    </w:p>
    <w:p>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了取得相关药品和医疗器械在我国上市许可，在临床试验机构利用我国人类遗传资源开展国际合作临床试验、不涉及人类遗传资源出境的，不需要批准；但是，在开展临床试验前应当将拟使用的人类遗传资源种类、数量及用途向国务院科学技术主管部门备案。</w:t>
      </w:r>
    </w:p>
    <w:p>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境外组织、个人及其设立或者实际控制的机构不得在我国境内采集、保藏我国人类遗传资源，不得向境外提供我国人类遗传资源。</w:t>
      </w:r>
    </w:p>
    <w:p>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第五十七条　将我国人类遗传资源信息向境外组织、个人及其设立或者实际控制的机构提供或者开放使用的，应当向国务院科学技术主管部门事先报告并提交信息备份。</w:t>
      </w:r>
    </w:p>
    <w:p>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第五十八条　采集、保藏、利用、运输出境我国珍贵、濒危、特有物种及其可用于再生或者繁殖传代的个体、器官、组织、细胞、基因等遗传资源，应当遵守有关法律法规。</w:t>
      </w:r>
    </w:p>
    <w:p>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境外组织、个人及其设立或者实际控制的机构获取和利用我国生物资源，应当依法取得批准。</w:t>
      </w:r>
    </w:p>
    <w:p>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第五十九条　利用我国生物资源开展国际科学研究合作，应当依法取得批准。</w:t>
      </w:r>
    </w:p>
    <w:p>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利用我国人类遗传资源和生物资源开展国际科学研究合作，应当保证中方单位及其研究人员全过程、实质性地参与研究，依法分享相关权益。</w:t>
      </w:r>
    </w:p>
    <w:p>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第六十条　国家加强对外来物种入侵的防范和应对，保护生物多样性。国务院农业农村主管部门会同国务院其他有关部门制定外来入侵物种名录和管理办法。</w:t>
      </w:r>
    </w:p>
    <w:p>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国务院有关部门根据职责分工，加强对外来入侵物种的调查、监测、预警、控制、评估、清除以及生态修复等工作。</w:t>
      </w:r>
    </w:p>
    <w:p>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任何单位和个人未经批准，不得擅自引进、释放或者丢弃外来物种。</w:t>
      </w:r>
    </w:p>
    <w:p>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auto"/>
        <w:rPr>
          <w:rFonts w:hint="eastAsia" w:ascii="仿宋_GB2312" w:hAnsi="仿宋_GB2312" w:eastAsia="仿宋_GB2312" w:cs="仿宋_GB2312"/>
          <w:sz w:val="32"/>
          <w:szCs w:val="32"/>
        </w:rPr>
      </w:pPr>
      <w:r>
        <w:rPr>
          <w:rStyle w:val="15"/>
          <w:rFonts w:hint="eastAsia" w:ascii="仿宋_GB2312" w:hAnsi="仿宋_GB2312" w:eastAsia="仿宋_GB2312" w:cs="仿宋_GB2312"/>
          <w:sz w:val="32"/>
          <w:szCs w:val="32"/>
        </w:rPr>
        <w:t>第七章　防范生物恐怖与生物武器威胁</w:t>
      </w:r>
    </w:p>
    <w:p>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第六十一条　国家采取一切必要措施防范生物恐怖与生物武器威胁。</w:t>
      </w:r>
    </w:p>
    <w:p>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禁止开发、制造或者以其他方式获取、储存、持有和使用生物武器。</w:t>
      </w:r>
    </w:p>
    <w:p>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禁止以任何方式唆使、资助、协助他人开发、制造或者以其他方式获取生物武器。</w:t>
      </w:r>
    </w:p>
    <w:p>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第六十二条　国务院有关部门制定、修改、公布可被用于生物恐怖活动、制造生物武器的生物体、生物毒素、设备或者技术清单，加强监管，防止其被用于制造生物武器或者恐怖目的。</w:t>
      </w:r>
    </w:p>
    <w:p>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第六十三条　国务院有关部门和有关军事机关根据职责分工，加强对可被用于生物恐怖活动、制造生物武器的生物体、生物毒素、设备或者技术进出境、进出口、获取、制造、转移和投放等活动的监测、调查，采取必要的防范和处置措施。</w:t>
      </w:r>
    </w:p>
    <w:p>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第六十四条　国务院有关部门、省级人民政府及其有关部门负责组织遭受生物恐怖袭击、生物武器攻击后的人员救治与安置、环境消毒、生态修复、安全监测和社会秩序恢复等工作。</w:t>
      </w:r>
    </w:p>
    <w:p>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国务院有关部门、省级人民政府及其有关部门应当有效引导社会舆论科学、准确报道生物恐怖袭击和生物武器攻击事件，及时发布疏散、转移和紧急避难等信息，对应急处置与恢复过程中遭受污染的区域和人员进行长期环境监测和健康监测。</w:t>
      </w:r>
    </w:p>
    <w:p>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第六十五条　国家组织开展对我国境内战争遗留生物武器及其危害结果、潜在影响的调查。</w:t>
      </w:r>
    </w:p>
    <w:p>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国家组织建设存放和处理战争遗留生物武器设施，保障对战争遗留生物武器的安全处置。</w:t>
      </w:r>
    </w:p>
    <w:p>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auto"/>
        <w:rPr>
          <w:rFonts w:hint="eastAsia" w:ascii="仿宋_GB2312" w:hAnsi="仿宋_GB2312" w:eastAsia="仿宋_GB2312" w:cs="仿宋_GB2312"/>
          <w:sz w:val="32"/>
          <w:szCs w:val="32"/>
        </w:rPr>
      </w:pPr>
      <w:r>
        <w:rPr>
          <w:rStyle w:val="15"/>
          <w:rFonts w:hint="eastAsia" w:ascii="仿宋_GB2312" w:hAnsi="仿宋_GB2312" w:eastAsia="仿宋_GB2312" w:cs="仿宋_GB2312"/>
          <w:sz w:val="32"/>
          <w:szCs w:val="32"/>
        </w:rPr>
        <w:t>第八章　生物安全能力建设</w:t>
      </w:r>
    </w:p>
    <w:p>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第六十六条　国家制定生物安全事业发展规划，加强生物安全能力建设，提高应对生物安全事件的能力和水平。</w:t>
      </w:r>
    </w:p>
    <w:p>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县级以上人民政府应当支持生物安全事业发展，按照事权划分，将支持下列生物安全事业发展的相关支出列入政府预算：</w:t>
      </w:r>
    </w:p>
    <w:p>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（一）监测网络的构建和运行；</w:t>
      </w:r>
    </w:p>
    <w:p>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（二）应急处置和防控物资的储备；</w:t>
      </w:r>
    </w:p>
    <w:p>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（三）关键基础设施的建设和运行；</w:t>
      </w:r>
    </w:p>
    <w:p>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（四）关键技术和产品的研究、开发；</w:t>
      </w:r>
    </w:p>
    <w:p>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（五）人类遗传资源和生物资源的调查、保藏；</w:t>
      </w:r>
    </w:p>
    <w:p>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（六）法律法规规定的其他重要生物安全事业。</w:t>
      </w:r>
    </w:p>
    <w:p>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第六十七条　国家采取措施支持生物安全科技研究，加强生物安全风险防御与管控技术研究，整合优势力量和资源，建立多学科、多部门协同创新的联合攻关机制，推动生物安全核心关键技术和重大防御产品的成果产出与转化应用，提高生物安全的科技保障能力。</w:t>
      </w:r>
    </w:p>
    <w:p>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第六十八条　国家统筹布局全国生物安全基础设施建设。国务院有关部门根据职责分工，加快建设生物信息、人类遗传资源保藏、菌（毒）种保藏、动植物遗传资源保藏、高等级病原微生物实验室等方面的生物安全国家战略资源平台，建立共享利用机制，为生物安全科技创新提供战略保障和支撑。</w:t>
      </w:r>
    </w:p>
    <w:p>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第六十九条　国务院有关部门根据职责分工，加强生物基础科学研究人才和生物领域专业技术人才培养，推动生物基础科学学科建设和科学研究。</w:t>
      </w:r>
    </w:p>
    <w:p>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国家生物安全基础设施重要岗位的从业人员应当具备符合要求的资格，相关信息应当向国务院有关部门备案，并接受岗位培训。</w:t>
      </w:r>
    </w:p>
    <w:p>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第七十条　国家加强重大新发突发传染病、动植物疫情等生物安全风险防控的物资储备。</w:t>
      </w:r>
    </w:p>
    <w:p>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国家加强生物安全应急药品、装备等物资的研究、开发和技术储备。国务院有关部门根据职责分工，落实生物安全应急药品、装备等物资研究、开发和技术储备的相关措施。</w:t>
      </w:r>
    </w:p>
    <w:p>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国务院有关部门和县级以上地方人民政府及其有关部门应当保障生物安全事件应急处置所需的医疗救护设备、救治药品、医疗器械等物资的生产、供应和调配；交通运输主管部门应当及时组织协调运输经营单位优先运送。</w:t>
      </w:r>
    </w:p>
    <w:p>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第七十一条　国家对从事高致病性病原微生物实验活动、生物安全事件现场处置等高风险生物安全工作的人员，提供有效的防护措施和医疗保障。</w:t>
      </w:r>
    </w:p>
    <w:p>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auto"/>
        <w:rPr>
          <w:rFonts w:hint="eastAsia" w:ascii="仿宋_GB2312" w:hAnsi="仿宋_GB2312" w:eastAsia="仿宋_GB2312" w:cs="仿宋_GB2312"/>
          <w:sz w:val="32"/>
          <w:szCs w:val="32"/>
        </w:rPr>
      </w:pPr>
      <w:r>
        <w:rPr>
          <w:rStyle w:val="15"/>
          <w:rFonts w:hint="eastAsia" w:ascii="仿宋_GB2312" w:hAnsi="仿宋_GB2312" w:eastAsia="仿宋_GB2312" w:cs="仿宋_GB2312"/>
          <w:sz w:val="32"/>
          <w:szCs w:val="32"/>
        </w:rPr>
        <w:t>第九章　法律责任</w:t>
      </w:r>
    </w:p>
    <w:p>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第七十二条　违反本法规定，履行生物安全管理职责的工作人员在生物安全工作中滥用职权、玩忽职守、徇私舞弊或者有其他违法行为的，依法给予处分。</w:t>
      </w:r>
    </w:p>
    <w:p>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第七十三条　违反本法规定，医疗机构、专业机构或者其工作人员瞒报、谎报、缓报、漏报，授意他人瞒报、谎报、缓报，或者阻碍他人报告传染病、动植物疫病或者不明原因的聚集性疾病的，由县级以上人民政府有关部门责令改正，给予警告；对法定代表人、主要负责人、直接负责的主管人员和其他直接责任人员，依法给予处分，并可以依法暂停一定期限的执业活动直至吊销相关执业证书。</w:t>
      </w:r>
    </w:p>
    <w:p>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违反本法规定，编造、散布虚假的生物安全信息，构成违反治安管理行为的，由公安机关依法给予治安管理处罚。</w:t>
      </w:r>
    </w:p>
    <w:p>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第七十四条　违反本法规定，从事国家禁止的生物技术研究、开发与应用活动的，由县级以上人民政府卫生健康、科学技术、农业农村主管部门根据职责分工，责令停止违法行为，没收违法所得、技术资料和用于违法行为的工具、设备、原材料等物品，处一百万元以上一千万元以下的罚款，违法所得在一百万元以上的，处违法所得十倍以上二十倍以下的罚款，并可以依法禁止一定期限内从事相应的生物技术研究、开发与应用活动，吊销相关许可证件；对法定代表人、主要负责人、直接负责的主管人员和其他直接责任人员，依法给予处分，处十万元以上二十万元以下的罚款，十年直至终身禁止从事相应的生物技术研究、开发与应用活动，依法吊销相关执业证书。</w:t>
      </w:r>
    </w:p>
    <w:p>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第七十五条　违反本法规定，从事生物技术研究、开发活动未遵守国家生物技术研究开发安全管理规范的，由县级以上人民政府有关部门根据职责分工，责令改正，给予警告，可以并处二万元以上二十万元以下的罚款；拒不改正或者造成严重后果的，责令停止研究、开发活动，并处二十万元以上二百万元以下的罚款。</w:t>
      </w:r>
    </w:p>
    <w:p>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第七十六条　违反本法规定，从事病原微生物实验活动未在相应等级的实验室进行，或者高等级病原微生物实验室未经批准从事高致病性、疑似高致病性病原微生物实验活动的，由县级以上地方人民政府卫生健康、农业农村主管部门根据职责分工，责令停止违法行为，监督其将用于实验活动的病原微生物销毁或者送交保藏机构，给予警告；造成传染病传播、流行或者其他严重后果的，对法定代表人、主要负责人、直接负责的主管人员和其他直接责任人员依法给予撤职、开除处分。</w:t>
      </w:r>
    </w:p>
    <w:p>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第七十七条　违反本法规定，将使用后的实验动物流入市场的，由县级以上人民政府科学技术主管部门责令改正，没收违法所得，并处二十万元以上一百万元以下的罚款，违法所得在二十万元以上的，并处违法所得五倍以上十倍以下的罚款；情节严重的，由发证部门吊销相关许可证件。</w:t>
      </w:r>
    </w:p>
    <w:p>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第七十八条　违反本法规定，有下列行为之一的，由县级以上人民政府有关部门根据职责分工，责令改正，没收违法所得，给予警告，可以并处十万元以上一百万元以下的罚款：</w:t>
      </w:r>
    </w:p>
    <w:p>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（一）购买或者引进列入管控清单的重要设备、特殊生物因子未进行登记，或者未报国务院有关部门备案；</w:t>
      </w:r>
    </w:p>
    <w:p>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（二）个人购买或者持有列入管控清单的重要设备或者特殊生物因子；</w:t>
      </w:r>
    </w:p>
    <w:p>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（三）个人设立病原微生物实验室或者从事病原微生物实验活动；</w:t>
      </w:r>
    </w:p>
    <w:p>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（四）未经实验室负责人批准进入高等级病原微生物实验室。</w:t>
      </w:r>
    </w:p>
    <w:p>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第七十九条　违反本法规定，未经批准，采集、保藏我国人类遗传资源或者利用我国人类遗传资源开展国际科学研究合作的，由国务院科学技术主管部门责令停止违法行为，没收违法所得和违法采集、保藏的人类遗传资源，并处五十万元以上五百万元以下的罚款，违法所得在一百万元以上的，并处违法所得五倍以上十倍以下的罚款；情节严重的，对法定代表人、主要负责人、直接负责的主管人员和其他直接责任人员，依法给予处分，五年内禁止从事相应活动。</w:t>
      </w:r>
    </w:p>
    <w:p>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第八十条　违反本法规定，境外组织、个人及其设立或者实际控制的机构在我国境内采集、保藏我国人类遗传资源，或者向境外提供我国人类遗传资源的，由国务院科学技术主管部门责令停止违法行为，没收违法所得和违法采集、保藏的人类遗传资源，并处一百万元以上一千万元以下的罚款；违法所得在一百万元以上的，并处违法所得十倍以上二十倍以下的罚款。</w:t>
      </w:r>
    </w:p>
    <w:p>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第八十一条　违反本法规定，未经批准，擅自引进外来物种的，由县级以上人民政府有关部门根据职责分工，没收引进的外来物种，并处五万元以上二十五万元以下的罚款。</w:t>
      </w:r>
    </w:p>
    <w:p>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违反本法规定，未经批准，擅自释放或者丢弃外来物种的，由县级以上人民政府有关部门根据职责分工，责令限期捕回、找回释放或者丢弃的外来物种，处一万元以上五万元以下的罚款。</w:t>
      </w:r>
    </w:p>
    <w:p>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第八十二条　违反本法规定，构成犯罪的，依法追究刑事责任；造成人身、财产或者其他损害的，依法承担民事责任。</w:t>
      </w:r>
    </w:p>
    <w:p>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第八十三条　违反本法规定的生物安全违法行为，本法未规定法律责任，其他有关法律、行政法规有规定的，依照其规定。</w:t>
      </w:r>
    </w:p>
    <w:p>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第八十四条　境外组织或者个人通过运输、邮寄、携带危险生物因子入境或者以其他方式危害我国生物安全的，依法追究法律责任，并可以采取其他必要措施。</w:t>
      </w:r>
    </w:p>
    <w:p>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auto"/>
        <w:rPr>
          <w:rStyle w:val="15"/>
          <w:rFonts w:hint="eastAsia" w:ascii="仿宋_GB2312" w:hAnsi="仿宋_GB2312" w:eastAsia="仿宋_GB2312" w:cs="仿宋_GB2312"/>
          <w:sz w:val="32"/>
          <w:szCs w:val="32"/>
        </w:rPr>
      </w:pPr>
    </w:p>
    <w:p>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auto"/>
        <w:rPr>
          <w:rFonts w:hint="eastAsia" w:ascii="仿宋_GB2312" w:hAnsi="仿宋_GB2312" w:eastAsia="仿宋_GB2312" w:cs="仿宋_GB2312"/>
          <w:sz w:val="32"/>
          <w:szCs w:val="32"/>
        </w:rPr>
      </w:pPr>
      <w:r>
        <w:rPr>
          <w:rStyle w:val="15"/>
          <w:rFonts w:hint="eastAsia" w:ascii="仿宋_GB2312" w:hAnsi="仿宋_GB2312" w:eastAsia="仿宋_GB2312" w:cs="仿宋_GB2312"/>
          <w:sz w:val="32"/>
          <w:szCs w:val="32"/>
        </w:rPr>
        <w:t>第十章　附则</w:t>
      </w:r>
    </w:p>
    <w:p>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第八十五条　本法下列术语的含义：</w:t>
      </w:r>
    </w:p>
    <w:p>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（一）生物因子，是指动物、植物、微生物、生物毒素及其他生物活性物质。</w:t>
      </w:r>
    </w:p>
    <w:p>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（二）重大新发突发传染病，是指我国境内首次出现或者已经宣布消灭再次发生，或者突然发生，造成或者可能造成公众健康和生命安全严重损害，引起社会恐慌，影响社会稳定的传染病。</w:t>
      </w:r>
    </w:p>
    <w:p>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重大新发突发动物疫情，是指我国境内首次发生或者已经宣布消灭的动物疫病再次发生，或者发病率、死亡率较高的潜伏动物疫病突然发生并迅速传播，给养殖业生产安全造成严重威胁、危害，以及可能对公众健康和生命安全造成危害的情形。</w:t>
      </w:r>
    </w:p>
    <w:p>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重大新发突发植物疫情，是指我国境内首次发生或者已经宣布消灭的严重危害植物的真菌、细菌、病毒、昆虫、线虫、杂草、害鼠、软体动物等再次引发病虫害，或者本地有害生物突然大范围发生并迅速传播，对农作物、林木等植物造成严重危害的情形。</w:t>
      </w:r>
    </w:p>
    <w:p>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（五）生物技术研究、开发与应用，是指通过科学和工程原理认识、改造、合成、利用生物而从事的科学研究、技术开发与应用等活动。</w:t>
      </w:r>
    </w:p>
    <w:p>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（六）病原微生物，是指可以侵犯人、动物引起感染甚至传染病的微生物，包括病毒、细菌、真菌、立克次体、寄生虫等。</w:t>
      </w:r>
    </w:p>
    <w:p>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（七）植物有害生物，是指能够对农作物、林木等植物造成危害的真菌、细菌、病毒、昆虫、线虫、杂草、害鼠、软体动物等生物。</w:t>
      </w:r>
    </w:p>
    <w:p>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人类遗传资源，包括人类遗传资源材料和人类遗传资源信息。人类遗传资源材料是指含有人体基因组、基因等遗传物质的器官、组织、细胞等遗传材料。人类遗传资源信息是指利用人类遗传资源材料产生的数据等信息资料。</w:t>
      </w:r>
    </w:p>
    <w:p>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（九）微生物耐药，是指微生物对抗微生物药物产生抗性，导致抗微生物药物不能有效控制微生物的感染。</w:t>
      </w:r>
    </w:p>
    <w:p>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生物武器，是指类型和数量不属于预防、保护或者其他和平用途所正当需要的、任何来源或者任何方法产生的微生物剂、其他生物剂以及生物毒素；也包括为将上述生物剂、生物毒素使用于敌对目的或者武装冲突而设计的武器、设备或者运载工具。</w:t>
      </w:r>
    </w:p>
    <w:p>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（十一）生物恐怖，是指故意使用致病性微生物、生物毒素等实施袭击，损害人类或者动植物健康，引起社会恐慌，企图达到特定政治目的的行为。</w:t>
      </w:r>
    </w:p>
    <w:p>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第八十六条 生物安全信息属于国家秘密的，应当依照《中华人民共和国保守国家秘密法》和国家其他有关保密规定实施保密管理。</w:t>
      </w:r>
    </w:p>
    <w:p>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第八十七条 中国人民解放军、中国人民武装警察部队的生物安全活动，由中央军事委员会依照本法规定的原则另行规定。</w:t>
      </w:r>
    </w:p>
    <w:p>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第八十八条 本法自2021年4月15日起施行。</w:t>
      </w:r>
    </w:p>
    <w:p>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仿宋_GB2312" w:hAnsi="仿宋_GB2312" w:eastAsia="仿宋_GB2312" w:cs="仿宋_GB2312"/>
          <w:sz w:val="32"/>
          <w:szCs w:val="32"/>
        </w:rPr>
      </w:pPr>
    </w:p>
    <w:p>
      <w:pPr>
        <w:keepNext w:val="0"/>
        <w:keepLines w:val="0"/>
        <w:pageBreakBefore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p>
    <w:p>
      <w:pPr>
        <w:keepNext w:val="0"/>
        <w:keepLines w:val="0"/>
        <w:pageBreakBefore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p>
    <w:p>
      <w:pPr>
        <w:keepNext w:val="0"/>
        <w:keepLines w:val="0"/>
        <w:pageBreakBefore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p>
    <w:p>
      <w:pPr>
        <w:keepNext w:val="0"/>
        <w:keepLines w:val="0"/>
        <w:pageBreakBefore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p>
    <w:p>
      <w:pPr>
        <w:keepNext w:val="0"/>
        <w:keepLines w:val="0"/>
        <w:pageBreakBefore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p>
    <w:p>
      <w:pPr>
        <w:keepNext w:val="0"/>
        <w:keepLines w:val="0"/>
        <w:pageBreakBefore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p>
    <w:p>
      <w:pPr>
        <w:keepNext w:val="0"/>
        <w:keepLines w:val="0"/>
        <w:pageBreakBefore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p>
    <w:p>
      <w:pPr>
        <w:keepNext w:val="0"/>
        <w:keepLines w:val="0"/>
        <w:pageBreakBefore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p>
    <w:p>
      <w:pPr>
        <w:keepNext w:val="0"/>
        <w:keepLines w:val="0"/>
        <w:pageBreakBefore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p>
    <w:p>
      <w:pPr>
        <w:keepNext w:val="0"/>
        <w:keepLines w:val="0"/>
        <w:pageBreakBefore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p>
    <w:p>
      <w:pPr>
        <w:pStyle w:val="2"/>
        <w:bidi w:val="0"/>
        <w:jc w:val="center"/>
        <w:outlineLvl w:val="0"/>
        <w:rPr>
          <w:rFonts w:hint="eastAsia" w:ascii="方正小标宋简体" w:hAnsi="方正小标宋简体" w:eastAsia="方正小标宋简体" w:cs="方正小标宋简体"/>
          <w:b w:val="0"/>
          <w:bCs/>
          <w:sz w:val="48"/>
          <w:szCs w:val="48"/>
          <w:lang w:eastAsia="zh-CN"/>
        </w:rPr>
      </w:pPr>
      <w:bookmarkStart w:id="84" w:name="_Toc20498"/>
      <w:r>
        <w:rPr>
          <w:rFonts w:hint="eastAsia" w:ascii="方正小标宋简体" w:hAnsi="方正小标宋简体" w:eastAsia="方正小标宋简体" w:cs="方正小标宋简体"/>
          <w:b w:val="0"/>
          <w:bCs/>
          <w:sz w:val="48"/>
          <w:szCs w:val="48"/>
          <w:lang w:eastAsia="zh-CN"/>
        </w:rPr>
        <w:t>中华人民共和国保守国家秘密法</w:t>
      </w:r>
      <w:bookmarkEnd w:id="84"/>
    </w:p>
    <w:p>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第一章 总 则</w:t>
      </w:r>
    </w:p>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3" w:firstLineChars="200"/>
        <w:jc w:val="both"/>
        <w:textAlignment w:val="auto"/>
        <w:rPr>
          <w:rFonts w:hint="eastAsia" w:ascii="仿宋_GB2312" w:hAnsi="仿宋_GB2312" w:eastAsia="仿宋_GB2312" w:cs="仿宋_GB2312"/>
          <w:sz w:val="32"/>
          <w:szCs w:val="32"/>
        </w:rPr>
      </w:pPr>
      <w:r>
        <w:rPr>
          <w:rStyle w:val="15"/>
          <w:rFonts w:hint="eastAsia" w:ascii="仿宋_GB2312" w:hAnsi="仿宋_GB2312" w:eastAsia="仿宋_GB2312" w:cs="仿宋_GB2312"/>
          <w:sz w:val="32"/>
          <w:szCs w:val="32"/>
        </w:rPr>
        <w:t>第一条</w:t>
      </w:r>
      <w:r>
        <w:rPr>
          <w:rFonts w:hint="eastAsia" w:ascii="仿宋_GB2312" w:hAnsi="仿宋_GB2312" w:eastAsia="仿宋_GB2312" w:cs="仿宋_GB2312"/>
          <w:sz w:val="32"/>
          <w:szCs w:val="32"/>
        </w:rPr>
        <w:t xml:space="preserve"> 为了保守国家秘密，维护国家安全和利益，保障改革开放和社会主义建设事业的顺利进行，制定本法。</w:t>
      </w:r>
    </w:p>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3" w:firstLineChars="200"/>
        <w:jc w:val="both"/>
        <w:textAlignment w:val="auto"/>
        <w:rPr>
          <w:rFonts w:hint="eastAsia" w:ascii="仿宋_GB2312" w:hAnsi="仿宋_GB2312" w:eastAsia="仿宋_GB2312" w:cs="仿宋_GB2312"/>
          <w:sz w:val="32"/>
          <w:szCs w:val="32"/>
        </w:rPr>
      </w:pPr>
      <w:r>
        <w:rPr>
          <w:rStyle w:val="15"/>
          <w:rFonts w:hint="eastAsia" w:ascii="仿宋_GB2312" w:hAnsi="仿宋_GB2312" w:eastAsia="仿宋_GB2312" w:cs="仿宋_GB2312"/>
          <w:sz w:val="32"/>
          <w:szCs w:val="32"/>
        </w:rPr>
        <w:t>第二条</w:t>
      </w:r>
      <w:r>
        <w:rPr>
          <w:rFonts w:hint="eastAsia" w:ascii="仿宋_GB2312" w:hAnsi="仿宋_GB2312" w:eastAsia="仿宋_GB2312" w:cs="仿宋_GB2312"/>
          <w:sz w:val="32"/>
          <w:szCs w:val="32"/>
        </w:rPr>
        <w:t xml:space="preserve"> 国家秘密是关系国家安全和利益，依照法定程序确定，在一定时间内只限一定范围的人员知悉的事项。</w:t>
      </w:r>
    </w:p>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3" w:firstLineChars="200"/>
        <w:jc w:val="both"/>
        <w:textAlignment w:val="auto"/>
        <w:rPr>
          <w:rFonts w:hint="eastAsia" w:ascii="仿宋_GB2312" w:hAnsi="仿宋_GB2312" w:eastAsia="仿宋_GB2312" w:cs="仿宋_GB2312"/>
          <w:sz w:val="32"/>
          <w:szCs w:val="32"/>
        </w:rPr>
      </w:pPr>
      <w:r>
        <w:rPr>
          <w:rStyle w:val="15"/>
          <w:rFonts w:hint="eastAsia" w:ascii="仿宋_GB2312" w:hAnsi="仿宋_GB2312" w:eastAsia="仿宋_GB2312" w:cs="仿宋_GB2312"/>
          <w:sz w:val="32"/>
          <w:szCs w:val="32"/>
        </w:rPr>
        <w:t>第三条</w:t>
      </w:r>
      <w:r>
        <w:rPr>
          <w:rFonts w:hint="eastAsia" w:ascii="仿宋_GB2312" w:hAnsi="仿宋_GB2312" w:eastAsia="仿宋_GB2312" w:cs="仿宋_GB2312"/>
          <w:sz w:val="32"/>
          <w:szCs w:val="32"/>
        </w:rPr>
        <w:t xml:space="preserve"> 国家秘密受法律保护。</w:t>
      </w:r>
    </w:p>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一切国家机关、武装力量、政党、社会团体、企业事业单位和公民都有保守国家秘密的义务。</w:t>
      </w:r>
    </w:p>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任何危害国家秘密安全的行为，都必须受到法律追究。</w:t>
      </w:r>
    </w:p>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3" w:firstLineChars="200"/>
        <w:jc w:val="both"/>
        <w:textAlignment w:val="auto"/>
        <w:rPr>
          <w:rFonts w:hint="eastAsia" w:ascii="仿宋_GB2312" w:hAnsi="仿宋_GB2312" w:eastAsia="仿宋_GB2312" w:cs="仿宋_GB2312"/>
          <w:sz w:val="32"/>
          <w:szCs w:val="32"/>
        </w:rPr>
      </w:pPr>
      <w:r>
        <w:rPr>
          <w:rStyle w:val="15"/>
          <w:rFonts w:hint="eastAsia" w:ascii="仿宋_GB2312" w:hAnsi="仿宋_GB2312" w:eastAsia="仿宋_GB2312" w:cs="仿宋_GB2312"/>
          <w:sz w:val="32"/>
          <w:szCs w:val="32"/>
        </w:rPr>
        <w:t>第四条</w:t>
      </w:r>
      <w:r>
        <w:rPr>
          <w:rFonts w:hint="eastAsia" w:ascii="仿宋_GB2312" w:hAnsi="仿宋_GB2312" w:eastAsia="仿宋_GB2312" w:cs="仿宋_GB2312"/>
          <w:sz w:val="32"/>
          <w:szCs w:val="32"/>
        </w:rPr>
        <w:t xml:space="preserve"> 保守国家秘密的工作(以下简称保密工作)，实行积极防范、突出重点、依法管理的方针，既确保国家秘密安全，又便利信息资源合理利用。</w:t>
      </w:r>
    </w:p>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法律、行政法规规定公开的事项，应当依法公开。</w:t>
      </w:r>
    </w:p>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3" w:firstLineChars="200"/>
        <w:jc w:val="both"/>
        <w:textAlignment w:val="auto"/>
        <w:rPr>
          <w:rFonts w:hint="eastAsia" w:ascii="仿宋_GB2312" w:hAnsi="仿宋_GB2312" w:eastAsia="仿宋_GB2312" w:cs="仿宋_GB2312"/>
          <w:sz w:val="32"/>
          <w:szCs w:val="32"/>
        </w:rPr>
      </w:pPr>
      <w:r>
        <w:rPr>
          <w:rStyle w:val="15"/>
          <w:rFonts w:hint="eastAsia" w:ascii="仿宋_GB2312" w:hAnsi="仿宋_GB2312" w:eastAsia="仿宋_GB2312" w:cs="仿宋_GB2312"/>
          <w:sz w:val="32"/>
          <w:szCs w:val="32"/>
        </w:rPr>
        <w:t>第五条</w:t>
      </w:r>
      <w:r>
        <w:rPr>
          <w:rFonts w:hint="eastAsia" w:ascii="仿宋_GB2312" w:hAnsi="仿宋_GB2312" w:eastAsia="仿宋_GB2312" w:cs="仿宋_GB2312"/>
          <w:sz w:val="32"/>
          <w:szCs w:val="32"/>
        </w:rPr>
        <w:t xml:space="preserve"> 国家保密行政管理部门主管全国的保密工作。县级以上地方各级保密行政管理部门主管本行政区域的保密工作。</w:t>
      </w:r>
    </w:p>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3" w:firstLineChars="200"/>
        <w:jc w:val="both"/>
        <w:textAlignment w:val="auto"/>
        <w:rPr>
          <w:rFonts w:hint="eastAsia" w:ascii="仿宋_GB2312" w:hAnsi="仿宋_GB2312" w:eastAsia="仿宋_GB2312" w:cs="仿宋_GB2312"/>
          <w:sz w:val="32"/>
          <w:szCs w:val="32"/>
        </w:rPr>
      </w:pPr>
      <w:r>
        <w:rPr>
          <w:rStyle w:val="15"/>
          <w:rFonts w:hint="eastAsia" w:ascii="仿宋_GB2312" w:hAnsi="仿宋_GB2312" w:eastAsia="仿宋_GB2312" w:cs="仿宋_GB2312"/>
          <w:sz w:val="32"/>
          <w:szCs w:val="32"/>
        </w:rPr>
        <w:t>第六条</w:t>
      </w:r>
      <w:r>
        <w:rPr>
          <w:rFonts w:hint="eastAsia" w:ascii="仿宋_GB2312" w:hAnsi="仿宋_GB2312" w:eastAsia="仿宋_GB2312" w:cs="仿宋_GB2312"/>
          <w:sz w:val="32"/>
          <w:szCs w:val="32"/>
        </w:rPr>
        <w:t xml:space="preserve"> 国家机关和涉及国家秘密的单位(以下简称机关、单位)管理本机关和本单位的保密工作。</w:t>
      </w:r>
    </w:p>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中央国家机关在其职权范围内，管理或者指导本系统的保密工作。</w:t>
      </w:r>
    </w:p>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3" w:firstLineChars="200"/>
        <w:jc w:val="both"/>
        <w:textAlignment w:val="auto"/>
        <w:rPr>
          <w:rFonts w:hint="eastAsia" w:ascii="仿宋_GB2312" w:hAnsi="仿宋_GB2312" w:eastAsia="仿宋_GB2312" w:cs="仿宋_GB2312"/>
          <w:sz w:val="32"/>
          <w:szCs w:val="32"/>
        </w:rPr>
      </w:pPr>
      <w:r>
        <w:rPr>
          <w:rStyle w:val="15"/>
          <w:rFonts w:hint="eastAsia" w:ascii="仿宋_GB2312" w:hAnsi="仿宋_GB2312" w:eastAsia="仿宋_GB2312" w:cs="仿宋_GB2312"/>
          <w:sz w:val="32"/>
          <w:szCs w:val="32"/>
        </w:rPr>
        <w:t>第七条</w:t>
      </w:r>
      <w:r>
        <w:rPr>
          <w:rFonts w:hint="eastAsia" w:ascii="仿宋_GB2312" w:hAnsi="仿宋_GB2312" w:eastAsia="仿宋_GB2312" w:cs="仿宋_GB2312"/>
          <w:sz w:val="32"/>
          <w:szCs w:val="32"/>
        </w:rPr>
        <w:t xml:space="preserve"> 机关、单位应当实行保密工作责任制，健全保密管理制度，完善保密防护措施，开展保密宣传教育，加强保密检查。</w:t>
      </w:r>
    </w:p>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3" w:firstLineChars="200"/>
        <w:jc w:val="both"/>
        <w:textAlignment w:val="auto"/>
        <w:rPr>
          <w:rFonts w:hint="eastAsia" w:ascii="仿宋_GB2312" w:hAnsi="仿宋_GB2312" w:eastAsia="仿宋_GB2312" w:cs="仿宋_GB2312"/>
          <w:sz w:val="32"/>
          <w:szCs w:val="32"/>
        </w:rPr>
      </w:pPr>
      <w:r>
        <w:rPr>
          <w:rStyle w:val="15"/>
          <w:rFonts w:hint="eastAsia" w:ascii="仿宋_GB2312" w:hAnsi="仿宋_GB2312" w:eastAsia="仿宋_GB2312" w:cs="仿宋_GB2312"/>
          <w:sz w:val="32"/>
          <w:szCs w:val="32"/>
        </w:rPr>
        <w:t>第八条</w:t>
      </w:r>
      <w:r>
        <w:rPr>
          <w:rFonts w:hint="eastAsia" w:ascii="仿宋_GB2312" w:hAnsi="仿宋_GB2312" w:eastAsia="仿宋_GB2312" w:cs="仿宋_GB2312"/>
          <w:sz w:val="32"/>
          <w:szCs w:val="32"/>
        </w:rPr>
        <w:t xml:space="preserve"> 国家对在保守、保护国家秘密以及改进保密技术、措施等方面成绩显著的单位或者个人给予奖励。</w:t>
      </w:r>
    </w:p>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jc w:val="center"/>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第二章 国家秘密的范围和密级</w:t>
      </w:r>
    </w:p>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3" w:firstLineChars="200"/>
        <w:jc w:val="both"/>
        <w:textAlignment w:val="auto"/>
        <w:rPr>
          <w:rFonts w:hint="eastAsia" w:ascii="仿宋_GB2312" w:hAnsi="仿宋_GB2312" w:eastAsia="仿宋_GB2312" w:cs="仿宋_GB2312"/>
          <w:sz w:val="32"/>
          <w:szCs w:val="32"/>
        </w:rPr>
      </w:pPr>
      <w:r>
        <w:rPr>
          <w:rStyle w:val="15"/>
          <w:rFonts w:hint="eastAsia" w:ascii="仿宋_GB2312" w:hAnsi="仿宋_GB2312" w:eastAsia="仿宋_GB2312" w:cs="仿宋_GB2312"/>
          <w:sz w:val="32"/>
          <w:szCs w:val="32"/>
        </w:rPr>
        <w:t>第九条</w:t>
      </w:r>
      <w:r>
        <w:rPr>
          <w:rFonts w:hint="eastAsia" w:ascii="仿宋_GB2312" w:hAnsi="仿宋_GB2312" w:eastAsia="仿宋_GB2312" w:cs="仿宋_GB2312"/>
          <w:sz w:val="32"/>
          <w:szCs w:val="32"/>
        </w:rPr>
        <w:t xml:space="preserve"> 下列涉及国家安全和利益的事项，泄露后可能损害国家在政治、经济、国防、外交等领域的安全和利益的，应当确定为国家秘密:</w:t>
      </w:r>
    </w:p>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(一)国家事务重大决策中的秘密事项;</w:t>
      </w:r>
    </w:p>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(二)国防建设和武装力量活动中的秘密事项;</w:t>
      </w:r>
    </w:p>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(三)外交和外事活动中的秘密事项以及对外承担保密义务的秘密事项;</w:t>
      </w:r>
    </w:p>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(四)国民经济和社会发展中的秘密事项;</w:t>
      </w:r>
    </w:p>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(五)科学技术中的秘密事项;</w:t>
      </w:r>
    </w:p>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(六)维护国家安全活动和追查刑事犯罪中的秘密事项;</w:t>
      </w:r>
    </w:p>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(七)经国家保密行政管理部门确定的其他秘密事项。</w:t>
      </w:r>
    </w:p>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政党的秘密事项中符合前款规定的，属于国家秘密。</w:t>
      </w:r>
    </w:p>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第十条</w:t>
      </w:r>
      <w:r>
        <w:rPr>
          <w:rFonts w:hint="eastAsia" w:ascii="仿宋_GB2312" w:hAnsi="仿宋_GB2312" w:eastAsia="仿宋_GB2312" w:cs="仿宋_GB2312"/>
          <w:sz w:val="32"/>
          <w:szCs w:val="32"/>
        </w:rPr>
        <w:t xml:space="preserve"> 国家秘密的密级分为绝密、机密、秘密三级。</w:t>
      </w:r>
    </w:p>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绝密级国家秘密是最重要的国家秘密，泄露会使国家安全和利益遭受特别严重的损害;机密级国家秘密是重要的国家秘密，泄露会使国家安全和利益遭受严重的损害;秘密级国家秘密是一般的国家秘密，泄露会使国家安全和利益遭受损害。</w:t>
      </w:r>
    </w:p>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第十一条</w:t>
      </w:r>
      <w:r>
        <w:rPr>
          <w:rFonts w:hint="eastAsia" w:ascii="仿宋_GB2312" w:hAnsi="仿宋_GB2312" w:eastAsia="仿宋_GB2312" w:cs="仿宋_GB2312"/>
          <w:sz w:val="32"/>
          <w:szCs w:val="32"/>
        </w:rPr>
        <w:t xml:space="preserve"> 国家秘密及其密级的具体范围，由国家保密行政管理部门分别会同外交、公安、国家安全和其他中央有关机关规定。</w:t>
      </w:r>
    </w:p>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军事方面的国家秘密及其密级的具体范围，由中央军事委员会规定。</w:t>
      </w:r>
    </w:p>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国家秘密及其密级的具体范围的规定，应当在有关范围内公布，并根据情况变化及时调整。</w:t>
      </w:r>
    </w:p>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3" w:firstLineChars="200"/>
        <w:jc w:val="both"/>
        <w:textAlignment w:val="auto"/>
        <w:rPr>
          <w:rFonts w:hint="eastAsia" w:ascii="仿宋_GB2312" w:hAnsi="仿宋_GB2312" w:eastAsia="仿宋_GB2312" w:cs="仿宋_GB2312"/>
          <w:sz w:val="32"/>
          <w:szCs w:val="32"/>
        </w:rPr>
      </w:pPr>
      <w:r>
        <w:rPr>
          <w:rStyle w:val="15"/>
          <w:rFonts w:hint="eastAsia" w:ascii="仿宋_GB2312" w:hAnsi="仿宋_GB2312" w:eastAsia="仿宋_GB2312" w:cs="仿宋_GB2312"/>
          <w:sz w:val="32"/>
          <w:szCs w:val="32"/>
        </w:rPr>
        <w:t>第十二条</w:t>
      </w:r>
      <w:r>
        <w:rPr>
          <w:rFonts w:hint="eastAsia" w:ascii="仿宋_GB2312" w:hAnsi="仿宋_GB2312" w:eastAsia="仿宋_GB2312" w:cs="仿宋_GB2312"/>
          <w:sz w:val="32"/>
          <w:szCs w:val="32"/>
        </w:rPr>
        <w:t xml:space="preserve"> 机关、单位负责人及其指定的人员为定密责任人，负责本机关、本单位的国家秘密确定、变更和解除工作。</w:t>
      </w:r>
    </w:p>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机关、单位确定、变更和解除本机关、本单位的国家秘密，应当由承办人提出具体意见，经定密责任人审核批准。</w:t>
      </w:r>
    </w:p>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3" w:firstLineChars="200"/>
        <w:jc w:val="both"/>
        <w:textAlignment w:val="auto"/>
        <w:rPr>
          <w:rFonts w:hint="eastAsia" w:ascii="仿宋_GB2312" w:hAnsi="仿宋_GB2312" w:eastAsia="仿宋_GB2312" w:cs="仿宋_GB2312"/>
          <w:sz w:val="32"/>
          <w:szCs w:val="32"/>
        </w:rPr>
      </w:pPr>
      <w:r>
        <w:rPr>
          <w:rStyle w:val="15"/>
          <w:rFonts w:hint="eastAsia" w:ascii="仿宋_GB2312" w:hAnsi="仿宋_GB2312" w:eastAsia="仿宋_GB2312" w:cs="仿宋_GB2312"/>
          <w:sz w:val="32"/>
          <w:szCs w:val="32"/>
        </w:rPr>
        <w:t>第十三条</w:t>
      </w:r>
      <w:r>
        <w:rPr>
          <w:rFonts w:hint="eastAsia" w:ascii="仿宋_GB2312" w:hAnsi="仿宋_GB2312" w:eastAsia="仿宋_GB2312" w:cs="仿宋_GB2312"/>
          <w:sz w:val="32"/>
          <w:szCs w:val="32"/>
        </w:rPr>
        <w:t xml:space="preserve"> 确定国家秘密的密级，应当遵守定密权限。</w:t>
      </w:r>
    </w:p>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央国家机关、省级机关及其授权的机关、单位可以确定绝密级、机密级和秘密级国家秘密;设区的市、自治州一级的机关及其授权的机关、单位可以确定机密级和秘密级国家秘密。具体的定密权限、授权范围由国家保密行政管理部门规定。</w:t>
      </w:r>
    </w:p>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机关、单位执行上级确定的国家秘密事项，需要定密的，根据所执行的国家秘密事项的密级确定。下级机关、单位认为本机关、本单位产生的有关定密事项属于上级机关、单位的定密权限，应当先行采取保密措施，并立即报请上级机关、单位确定;没有上级机关、单位的，应当立即提请有相应定密权限的业务主管部门或者保密行政管理部门确定。</w:t>
      </w:r>
    </w:p>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公安、国家安全机关在其工作范围内按照规定的权限确定国家秘密的密级。</w:t>
      </w:r>
    </w:p>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3" w:firstLineChars="200"/>
        <w:jc w:val="both"/>
        <w:textAlignment w:val="auto"/>
        <w:rPr>
          <w:rFonts w:hint="eastAsia" w:ascii="仿宋_GB2312" w:hAnsi="仿宋_GB2312" w:eastAsia="仿宋_GB2312" w:cs="仿宋_GB2312"/>
          <w:sz w:val="32"/>
          <w:szCs w:val="32"/>
        </w:rPr>
      </w:pPr>
      <w:r>
        <w:rPr>
          <w:rStyle w:val="15"/>
          <w:rFonts w:hint="eastAsia" w:ascii="仿宋_GB2312" w:hAnsi="仿宋_GB2312" w:eastAsia="仿宋_GB2312" w:cs="仿宋_GB2312"/>
          <w:sz w:val="32"/>
          <w:szCs w:val="32"/>
        </w:rPr>
        <w:t>第十四条</w:t>
      </w:r>
      <w:r>
        <w:rPr>
          <w:rFonts w:hint="eastAsia" w:ascii="仿宋_GB2312" w:hAnsi="仿宋_GB2312" w:eastAsia="仿宋_GB2312" w:cs="仿宋_GB2312"/>
          <w:sz w:val="32"/>
          <w:szCs w:val="32"/>
        </w:rPr>
        <w:t xml:space="preserve"> 机关、单位对所产生的国家秘密事项，应当按照国家秘密及其密级的具体范围的规定确定密级，同时确定保密期限和知悉范围。</w:t>
      </w:r>
    </w:p>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3" w:firstLineChars="200"/>
        <w:jc w:val="both"/>
        <w:textAlignment w:val="auto"/>
        <w:rPr>
          <w:rFonts w:hint="eastAsia" w:ascii="仿宋_GB2312" w:hAnsi="仿宋_GB2312" w:eastAsia="仿宋_GB2312" w:cs="仿宋_GB2312"/>
          <w:sz w:val="32"/>
          <w:szCs w:val="32"/>
        </w:rPr>
      </w:pPr>
      <w:r>
        <w:rPr>
          <w:rStyle w:val="15"/>
          <w:rFonts w:hint="eastAsia" w:ascii="仿宋_GB2312" w:hAnsi="仿宋_GB2312" w:eastAsia="仿宋_GB2312" w:cs="仿宋_GB2312"/>
          <w:sz w:val="32"/>
          <w:szCs w:val="32"/>
        </w:rPr>
        <w:t>第十五条</w:t>
      </w:r>
      <w:r>
        <w:rPr>
          <w:rFonts w:hint="eastAsia" w:ascii="仿宋_GB2312" w:hAnsi="仿宋_GB2312" w:eastAsia="仿宋_GB2312" w:cs="仿宋_GB2312"/>
          <w:sz w:val="32"/>
          <w:szCs w:val="32"/>
        </w:rPr>
        <w:t xml:space="preserve"> 国家秘密的保密期限，应当根据事项的性质和特点，按照维护国家安全和利益的需要，限定在必要的期限内;不能确定期限的，应当确定解密的条件。</w:t>
      </w:r>
    </w:p>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国家秘密的保密期限，除另有规定外，绝密级不超过三十年，机密级不超过二十年，秘密级不超过十年。</w:t>
      </w:r>
    </w:p>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机关、单位应当根据工作需要，确定具体的保密期限、解密时间或者解密条件。</w:t>
      </w:r>
    </w:p>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机关、单位对在决定和处理有关事项工作过程中确定需要保密的事项，根据工作需要决定公开的，正式公布时即视为解密。</w:t>
      </w:r>
    </w:p>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3" w:firstLineChars="200"/>
        <w:jc w:val="both"/>
        <w:textAlignment w:val="auto"/>
        <w:rPr>
          <w:rFonts w:hint="eastAsia" w:ascii="仿宋_GB2312" w:hAnsi="仿宋_GB2312" w:eastAsia="仿宋_GB2312" w:cs="仿宋_GB2312"/>
          <w:sz w:val="32"/>
          <w:szCs w:val="32"/>
        </w:rPr>
      </w:pPr>
      <w:r>
        <w:rPr>
          <w:rStyle w:val="15"/>
          <w:rFonts w:hint="eastAsia" w:ascii="仿宋_GB2312" w:hAnsi="仿宋_GB2312" w:eastAsia="仿宋_GB2312" w:cs="仿宋_GB2312"/>
          <w:sz w:val="32"/>
          <w:szCs w:val="32"/>
        </w:rPr>
        <w:t>第十六条</w:t>
      </w:r>
      <w:r>
        <w:rPr>
          <w:rFonts w:hint="eastAsia" w:ascii="仿宋_GB2312" w:hAnsi="仿宋_GB2312" w:eastAsia="仿宋_GB2312" w:cs="仿宋_GB2312"/>
          <w:sz w:val="32"/>
          <w:szCs w:val="32"/>
        </w:rPr>
        <w:t xml:space="preserve"> 国家秘密的知悉范围，应当根据工作需要限定在最小范围。</w:t>
      </w:r>
    </w:p>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国家秘密的知悉范围能够限定到具体人员的，限定到具体人员;不能限定到具体人员的，限定到机关、单位，由机关、单位限定到具体人员。</w:t>
      </w:r>
    </w:p>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国家秘密的知悉范围以外的人员，因工作需要知悉国家秘密的，应当经过机关、单位负责人批准。</w:t>
      </w:r>
    </w:p>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3" w:firstLineChars="200"/>
        <w:jc w:val="both"/>
        <w:textAlignment w:val="auto"/>
        <w:rPr>
          <w:rFonts w:hint="eastAsia" w:ascii="仿宋_GB2312" w:hAnsi="仿宋_GB2312" w:eastAsia="仿宋_GB2312" w:cs="仿宋_GB2312"/>
          <w:sz w:val="32"/>
          <w:szCs w:val="32"/>
        </w:rPr>
      </w:pPr>
      <w:r>
        <w:rPr>
          <w:rStyle w:val="15"/>
          <w:rFonts w:hint="eastAsia" w:ascii="仿宋_GB2312" w:hAnsi="仿宋_GB2312" w:eastAsia="仿宋_GB2312" w:cs="仿宋_GB2312"/>
          <w:sz w:val="32"/>
          <w:szCs w:val="32"/>
        </w:rPr>
        <w:t>第十七条</w:t>
      </w:r>
      <w:r>
        <w:rPr>
          <w:rFonts w:hint="eastAsia" w:ascii="仿宋_GB2312" w:hAnsi="仿宋_GB2312" w:eastAsia="仿宋_GB2312" w:cs="仿宋_GB2312"/>
          <w:sz w:val="32"/>
          <w:szCs w:val="32"/>
        </w:rPr>
        <w:t xml:space="preserve"> 机关、单位对承载国家秘密的纸介质、光介质、电磁介质等载体(以下简称国家秘密载体)以及属于国家秘密的设备、产品，应当做出国家秘密标志。</w:t>
      </w:r>
    </w:p>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不属于国家秘密的，不应当做出国家秘密标志。</w:t>
      </w:r>
    </w:p>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3" w:firstLineChars="200"/>
        <w:jc w:val="both"/>
        <w:textAlignment w:val="auto"/>
        <w:rPr>
          <w:rFonts w:hint="eastAsia" w:ascii="仿宋_GB2312" w:hAnsi="仿宋_GB2312" w:eastAsia="仿宋_GB2312" w:cs="仿宋_GB2312"/>
          <w:sz w:val="32"/>
          <w:szCs w:val="32"/>
        </w:rPr>
      </w:pPr>
      <w:r>
        <w:rPr>
          <w:rStyle w:val="15"/>
          <w:rFonts w:hint="eastAsia" w:ascii="仿宋_GB2312" w:hAnsi="仿宋_GB2312" w:eastAsia="仿宋_GB2312" w:cs="仿宋_GB2312"/>
          <w:sz w:val="32"/>
          <w:szCs w:val="32"/>
        </w:rPr>
        <w:t>第十八条</w:t>
      </w:r>
      <w:r>
        <w:rPr>
          <w:rFonts w:hint="eastAsia" w:ascii="仿宋_GB2312" w:hAnsi="仿宋_GB2312" w:eastAsia="仿宋_GB2312" w:cs="仿宋_GB2312"/>
          <w:sz w:val="32"/>
          <w:szCs w:val="32"/>
        </w:rPr>
        <w:t xml:space="preserve"> 国家秘密的密级、保密期限和知悉范围，应当根据情况变化及时变更。国家秘密的密级、保密期限和知悉范围的变更，由原定密机关、单位决定，也可以由其上级机关决定。</w:t>
      </w:r>
    </w:p>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国家秘密的密级、保密期限和知悉范围变更的，应当及时书面通知知悉范围内的机关、单位或者人员。</w:t>
      </w:r>
    </w:p>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3" w:firstLineChars="200"/>
        <w:jc w:val="both"/>
        <w:textAlignment w:val="auto"/>
        <w:rPr>
          <w:rFonts w:hint="eastAsia" w:ascii="仿宋_GB2312" w:hAnsi="仿宋_GB2312" w:eastAsia="仿宋_GB2312" w:cs="仿宋_GB2312"/>
          <w:sz w:val="32"/>
          <w:szCs w:val="32"/>
        </w:rPr>
      </w:pPr>
      <w:r>
        <w:rPr>
          <w:rStyle w:val="15"/>
          <w:rFonts w:hint="eastAsia" w:ascii="仿宋_GB2312" w:hAnsi="仿宋_GB2312" w:eastAsia="仿宋_GB2312" w:cs="仿宋_GB2312"/>
          <w:sz w:val="32"/>
          <w:szCs w:val="32"/>
        </w:rPr>
        <w:t>第十九条</w:t>
      </w:r>
      <w:r>
        <w:rPr>
          <w:rFonts w:hint="eastAsia" w:ascii="仿宋_GB2312" w:hAnsi="仿宋_GB2312" w:eastAsia="仿宋_GB2312" w:cs="仿宋_GB2312"/>
          <w:sz w:val="32"/>
          <w:szCs w:val="32"/>
        </w:rPr>
        <w:t xml:space="preserve"> 国家秘密的保密期限已满的，自行解密。</w:t>
      </w:r>
    </w:p>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机关、单位应当定期审核所确定的国家秘密。对在保密期限内因保密事项范围调整不再作为国家秘密事项，或者公开后不会损害国家安全和利益，不需要继续保密的，应当及时解密;对需要延长保密期限的，应当在原保密期限届满前重新确定保密期限。提前解密或者延长保密期限的，由原定密机关、单位决定，也可以由其上级机关决定。</w:t>
      </w:r>
    </w:p>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3" w:firstLineChars="200"/>
        <w:jc w:val="both"/>
        <w:textAlignment w:val="auto"/>
        <w:rPr>
          <w:rFonts w:hint="eastAsia" w:ascii="仿宋_GB2312" w:hAnsi="仿宋_GB2312" w:eastAsia="仿宋_GB2312" w:cs="仿宋_GB2312"/>
          <w:sz w:val="32"/>
          <w:szCs w:val="32"/>
        </w:rPr>
      </w:pPr>
      <w:r>
        <w:rPr>
          <w:rStyle w:val="15"/>
          <w:rFonts w:hint="eastAsia" w:ascii="仿宋_GB2312" w:hAnsi="仿宋_GB2312" w:eastAsia="仿宋_GB2312" w:cs="仿宋_GB2312"/>
          <w:sz w:val="32"/>
          <w:szCs w:val="32"/>
        </w:rPr>
        <w:t>第二十条</w:t>
      </w:r>
      <w:r>
        <w:rPr>
          <w:rFonts w:hint="eastAsia" w:ascii="仿宋_GB2312" w:hAnsi="仿宋_GB2312" w:eastAsia="仿宋_GB2312" w:cs="仿宋_GB2312"/>
          <w:sz w:val="32"/>
          <w:szCs w:val="32"/>
        </w:rPr>
        <w:t xml:space="preserve"> 机关、单位对是否属于国家秘密或者属于何种密级不明确或者有争议的，由国家保密行政管理部门或者省、自治区、直辖市保密行政管理部门确定。</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jc w:val="center"/>
        <w:textAlignment w:val="auto"/>
        <w:rPr>
          <w:rFonts w:hint="eastAsia" w:ascii="仿宋_GB2312" w:hAnsi="仿宋_GB2312" w:eastAsia="仿宋_GB2312" w:cs="仿宋_GB2312"/>
          <w:b/>
          <w:bCs/>
          <w:kern w:val="0"/>
          <w:sz w:val="32"/>
          <w:szCs w:val="32"/>
          <w:lang w:val="en-US" w:eastAsia="zh-CN" w:bidi="ar"/>
        </w:rPr>
      </w:pPr>
      <w:bookmarkStart w:id="85" w:name="_Toc29484"/>
      <w:bookmarkStart w:id="86" w:name="_Toc4056"/>
      <w:bookmarkStart w:id="87" w:name="_Toc24874"/>
      <w:bookmarkStart w:id="88" w:name="_Toc852"/>
      <w:bookmarkStart w:id="89" w:name="_Toc12277"/>
      <w:bookmarkStart w:id="90" w:name="_Toc3089"/>
      <w:bookmarkStart w:id="91" w:name="_Toc21934"/>
      <w:bookmarkStart w:id="92" w:name="_Toc30011"/>
      <w:bookmarkStart w:id="93" w:name="_Toc30108"/>
      <w:r>
        <w:rPr>
          <w:rFonts w:hint="eastAsia" w:ascii="仿宋_GB2312" w:hAnsi="仿宋_GB2312" w:eastAsia="仿宋_GB2312" w:cs="仿宋_GB2312"/>
          <w:b/>
          <w:bCs/>
          <w:kern w:val="0"/>
          <w:sz w:val="32"/>
          <w:szCs w:val="32"/>
          <w:lang w:val="en-US" w:eastAsia="zh-CN" w:bidi="ar"/>
        </w:rPr>
        <w:t>第三章  保密制度</w:t>
      </w:r>
      <w:bookmarkEnd w:id="85"/>
      <w:bookmarkEnd w:id="86"/>
      <w:bookmarkEnd w:id="87"/>
      <w:bookmarkEnd w:id="88"/>
      <w:bookmarkEnd w:id="89"/>
      <w:bookmarkEnd w:id="90"/>
      <w:bookmarkEnd w:id="91"/>
      <w:bookmarkEnd w:id="92"/>
      <w:bookmarkEnd w:id="93"/>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right="0" w:firstLine="643" w:firstLineChars="200"/>
        <w:textAlignment w:val="auto"/>
        <w:rPr>
          <w:rFonts w:hint="eastAsia" w:ascii="仿宋_GB2312" w:hAnsi="仿宋_GB2312" w:eastAsia="仿宋_GB2312" w:cs="仿宋_GB2312"/>
          <w:color w:val="auto"/>
          <w:sz w:val="32"/>
          <w:szCs w:val="32"/>
        </w:rPr>
      </w:pPr>
      <w:r>
        <w:rPr>
          <w:rStyle w:val="15"/>
          <w:rFonts w:hint="eastAsia" w:ascii="仿宋_GB2312" w:hAnsi="仿宋_GB2312" w:eastAsia="仿宋_GB2312" w:cs="仿宋_GB2312"/>
          <w:color w:val="auto"/>
          <w:sz w:val="32"/>
          <w:szCs w:val="32"/>
          <w:shd w:val="clear" w:color="auto" w:fill="FFFFFF"/>
        </w:rPr>
        <w:t>第二十一条 </w:t>
      </w:r>
      <w:r>
        <w:rPr>
          <w:rFonts w:hint="eastAsia" w:ascii="仿宋_GB2312" w:hAnsi="仿宋_GB2312" w:eastAsia="仿宋_GB2312" w:cs="仿宋_GB2312"/>
          <w:color w:val="auto"/>
          <w:sz w:val="32"/>
          <w:szCs w:val="32"/>
          <w:shd w:val="clear" w:color="auto" w:fill="FFFFFF"/>
        </w:rPr>
        <w:t>国家秘密载体的制作、收发、传递、使用、复制、保存、维修和销毁，应当符合国家保密规定。</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right="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shd w:val="clear" w:color="auto" w:fill="FFFFFF"/>
        </w:rPr>
        <w:t>绝密级国家秘密载体应当在符合国家保密标准的设施、设备中保存，并指定专人管理；未经原定密机关、单位或者其上级机关批准，不得复制和摘抄；收发、传递和外出携带，应当指定人员负责，并采取必要的安全措施。</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right="0" w:firstLine="643" w:firstLineChars="200"/>
        <w:textAlignment w:val="auto"/>
        <w:rPr>
          <w:rFonts w:hint="eastAsia" w:ascii="仿宋_GB2312" w:hAnsi="仿宋_GB2312" w:eastAsia="仿宋_GB2312" w:cs="仿宋_GB2312"/>
          <w:color w:val="auto"/>
          <w:sz w:val="32"/>
          <w:szCs w:val="32"/>
        </w:rPr>
      </w:pPr>
      <w:r>
        <w:rPr>
          <w:rStyle w:val="15"/>
          <w:rFonts w:hint="eastAsia" w:ascii="仿宋_GB2312" w:hAnsi="仿宋_GB2312" w:eastAsia="仿宋_GB2312" w:cs="仿宋_GB2312"/>
          <w:color w:val="auto"/>
          <w:sz w:val="32"/>
          <w:szCs w:val="32"/>
          <w:shd w:val="clear" w:color="auto" w:fill="FFFFFF"/>
        </w:rPr>
        <w:t>第二十二条</w:t>
      </w:r>
      <w:r>
        <w:rPr>
          <w:rFonts w:hint="eastAsia" w:ascii="仿宋_GB2312" w:hAnsi="仿宋_GB2312" w:eastAsia="仿宋_GB2312" w:cs="仿宋_GB2312"/>
          <w:color w:val="auto"/>
          <w:sz w:val="32"/>
          <w:szCs w:val="32"/>
          <w:shd w:val="clear" w:color="auto" w:fill="FFFFFF"/>
        </w:rPr>
        <w:t> 属于国家秘密的设备、产品的研制、生产、运输、使用、保存、维修和销毁，应当符合国家保密规定。</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right="0" w:firstLine="643" w:firstLineChars="200"/>
        <w:textAlignment w:val="auto"/>
        <w:rPr>
          <w:rFonts w:hint="eastAsia" w:ascii="仿宋_GB2312" w:hAnsi="仿宋_GB2312" w:eastAsia="仿宋_GB2312" w:cs="仿宋_GB2312"/>
          <w:color w:val="auto"/>
          <w:sz w:val="32"/>
          <w:szCs w:val="32"/>
        </w:rPr>
      </w:pPr>
      <w:r>
        <w:rPr>
          <w:rStyle w:val="15"/>
          <w:rFonts w:hint="eastAsia" w:ascii="仿宋_GB2312" w:hAnsi="仿宋_GB2312" w:eastAsia="仿宋_GB2312" w:cs="仿宋_GB2312"/>
          <w:color w:val="auto"/>
          <w:sz w:val="32"/>
          <w:szCs w:val="32"/>
          <w:shd w:val="clear" w:color="auto" w:fill="FFFFFF"/>
        </w:rPr>
        <w:t>第二十三条 </w:t>
      </w:r>
      <w:r>
        <w:rPr>
          <w:rFonts w:hint="eastAsia" w:ascii="仿宋_GB2312" w:hAnsi="仿宋_GB2312" w:eastAsia="仿宋_GB2312" w:cs="仿宋_GB2312"/>
          <w:color w:val="auto"/>
          <w:sz w:val="32"/>
          <w:szCs w:val="32"/>
          <w:shd w:val="clear" w:color="auto" w:fill="FFFFFF"/>
        </w:rPr>
        <w:t>存储、处理国家秘密的计算机信息系统(以下简称涉密信息系统)按照涉密程度实行分级保护。</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right="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shd w:val="clear" w:color="auto" w:fill="FFFFFF"/>
        </w:rPr>
        <w:t>涉密信息系统应当按照国家保密标准配备保密设施、设备。保密设施、设备应当与涉密信息系统同步规划，同步建设，同步运行。</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right="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shd w:val="clear" w:color="auto" w:fill="FFFFFF"/>
        </w:rPr>
        <w:t>涉密信息系统应当按照规定，经检查合格后，方可投入使用。</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right="0" w:firstLine="643" w:firstLineChars="200"/>
        <w:textAlignment w:val="auto"/>
        <w:rPr>
          <w:rFonts w:hint="eastAsia" w:ascii="仿宋_GB2312" w:hAnsi="仿宋_GB2312" w:eastAsia="仿宋_GB2312" w:cs="仿宋_GB2312"/>
          <w:color w:val="auto"/>
          <w:sz w:val="32"/>
          <w:szCs w:val="32"/>
        </w:rPr>
      </w:pPr>
      <w:r>
        <w:rPr>
          <w:rStyle w:val="15"/>
          <w:rFonts w:hint="eastAsia" w:ascii="仿宋_GB2312" w:hAnsi="仿宋_GB2312" w:eastAsia="仿宋_GB2312" w:cs="仿宋_GB2312"/>
          <w:color w:val="auto"/>
          <w:sz w:val="32"/>
          <w:szCs w:val="32"/>
          <w:shd w:val="clear" w:color="auto" w:fill="FFFFFF"/>
        </w:rPr>
        <w:t>第二十四条</w:t>
      </w:r>
      <w:r>
        <w:rPr>
          <w:rFonts w:hint="eastAsia" w:ascii="仿宋_GB2312" w:hAnsi="仿宋_GB2312" w:eastAsia="仿宋_GB2312" w:cs="仿宋_GB2312"/>
          <w:color w:val="auto"/>
          <w:sz w:val="32"/>
          <w:szCs w:val="32"/>
          <w:shd w:val="clear" w:color="auto" w:fill="FFFFFF"/>
        </w:rPr>
        <w:t> 机关、单位应当加强对涉密信息系统的管理，任何组织和个人不得有下列行为：</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right="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shd w:val="clear" w:color="auto" w:fill="FFFFFF"/>
        </w:rPr>
        <w:t>(一)将涉密计算机、涉密存储设备接入互联网及其他公共信息网络；</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right="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shd w:val="clear" w:color="auto" w:fill="FFFFFF"/>
        </w:rPr>
        <w:t>(二)在未采取防护措施的情况下，在涉密信息系统与互联网及其他公共信息网络之间进行信息交换；</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right="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shd w:val="clear" w:color="auto" w:fill="FFFFFF"/>
        </w:rPr>
        <w:t>(三)使用非涉密计算机、非涉密存储设备存储、处理国家秘密信息；</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right="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shd w:val="clear" w:color="auto" w:fill="FFFFFF"/>
        </w:rPr>
        <w:t>(四)擅自卸载、修改涉密信息系统的安全技术程序、管理程序；</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right="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shd w:val="clear" w:color="auto" w:fill="FFFFFF"/>
        </w:rPr>
        <w:t>(五)将未经安全技术处理的退出使用的涉密计算机、涉密存储设备赠送、出售、丢弃或者改作其他用途。</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right="0" w:firstLine="643" w:firstLineChars="200"/>
        <w:textAlignment w:val="auto"/>
        <w:rPr>
          <w:rFonts w:hint="eastAsia" w:ascii="仿宋_GB2312" w:hAnsi="仿宋_GB2312" w:eastAsia="仿宋_GB2312" w:cs="仿宋_GB2312"/>
          <w:color w:val="auto"/>
          <w:sz w:val="32"/>
          <w:szCs w:val="32"/>
        </w:rPr>
      </w:pPr>
      <w:r>
        <w:rPr>
          <w:rStyle w:val="15"/>
          <w:rFonts w:hint="eastAsia" w:ascii="仿宋_GB2312" w:hAnsi="仿宋_GB2312" w:eastAsia="仿宋_GB2312" w:cs="仿宋_GB2312"/>
          <w:color w:val="auto"/>
          <w:sz w:val="32"/>
          <w:szCs w:val="32"/>
          <w:shd w:val="clear" w:color="auto" w:fill="FFFFFF"/>
        </w:rPr>
        <w:t>第二十五条</w:t>
      </w:r>
      <w:r>
        <w:rPr>
          <w:rFonts w:hint="eastAsia" w:ascii="仿宋_GB2312" w:hAnsi="仿宋_GB2312" w:eastAsia="仿宋_GB2312" w:cs="仿宋_GB2312"/>
          <w:color w:val="auto"/>
          <w:sz w:val="32"/>
          <w:szCs w:val="32"/>
          <w:shd w:val="clear" w:color="auto" w:fill="FFFFFF"/>
        </w:rPr>
        <w:t> 机关、单位应当加强对国家秘密载体的管理，任何组织和个人不得有下列行为：</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right="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shd w:val="clear" w:color="auto" w:fill="FFFFFF"/>
        </w:rPr>
        <w:t>(一)非法获取、持有国家秘密载体；</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right="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shd w:val="clear" w:color="auto" w:fill="FFFFFF"/>
        </w:rPr>
        <w:t>(二)买卖、转送或者私自销毁国家秘密载体；</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right="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shd w:val="clear" w:color="auto" w:fill="FFFFFF"/>
        </w:rPr>
        <w:t>(三)通过普通邮政、快递等无保密措施的渠道传递国家秘密载体；</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right="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shd w:val="clear" w:color="auto" w:fill="FFFFFF"/>
        </w:rPr>
        <w:t>(四)邮寄、托运国家秘密载体出境；</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right="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shd w:val="clear" w:color="auto" w:fill="FFFFFF"/>
        </w:rPr>
        <w:t>(五)未经有关主管部门批准，携带、传递国家秘密载体出境。</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right="0" w:firstLine="643" w:firstLineChars="200"/>
        <w:textAlignment w:val="auto"/>
        <w:rPr>
          <w:rFonts w:hint="eastAsia" w:ascii="仿宋_GB2312" w:hAnsi="仿宋_GB2312" w:eastAsia="仿宋_GB2312" w:cs="仿宋_GB2312"/>
          <w:color w:val="auto"/>
          <w:sz w:val="32"/>
          <w:szCs w:val="32"/>
        </w:rPr>
      </w:pPr>
      <w:r>
        <w:rPr>
          <w:rStyle w:val="15"/>
          <w:rFonts w:hint="eastAsia" w:ascii="仿宋_GB2312" w:hAnsi="仿宋_GB2312" w:eastAsia="仿宋_GB2312" w:cs="仿宋_GB2312"/>
          <w:color w:val="auto"/>
          <w:sz w:val="32"/>
          <w:szCs w:val="32"/>
          <w:shd w:val="clear" w:color="auto" w:fill="FFFFFF"/>
        </w:rPr>
        <w:t>第二十六条 </w:t>
      </w:r>
      <w:r>
        <w:rPr>
          <w:rFonts w:hint="eastAsia" w:ascii="仿宋_GB2312" w:hAnsi="仿宋_GB2312" w:eastAsia="仿宋_GB2312" w:cs="仿宋_GB2312"/>
          <w:color w:val="auto"/>
          <w:sz w:val="32"/>
          <w:szCs w:val="32"/>
          <w:shd w:val="clear" w:color="auto" w:fill="FFFFFF"/>
        </w:rPr>
        <w:t>禁止非法复制、记录、存储国家秘密。</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right="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shd w:val="clear" w:color="auto" w:fill="FFFFFF"/>
        </w:rPr>
        <w:t>禁止在互联网及其他公共信息网络或者未采取保密措施的有线和无线通信中传递国家秘密。</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right="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shd w:val="clear" w:color="auto" w:fill="FFFFFF"/>
        </w:rPr>
        <w:t>禁止在私人交往和通信中涉及国家秘密。</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right="0" w:firstLine="643" w:firstLineChars="200"/>
        <w:textAlignment w:val="auto"/>
        <w:rPr>
          <w:rFonts w:hint="eastAsia" w:ascii="仿宋_GB2312" w:hAnsi="仿宋_GB2312" w:eastAsia="仿宋_GB2312" w:cs="仿宋_GB2312"/>
          <w:color w:val="auto"/>
          <w:sz w:val="32"/>
          <w:szCs w:val="32"/>
        </w:rPr>
      </w:pPr>
      <w:r>
        <w:rPr>
          <w:rStyle w:val="15"/>
          <w:rFonts w:hint="eastAsia" w:ascii="仿宋_GB2312" w:hAnsi="仿宋_GB2312" w:eastAsia="仿宋_GB2312" w:cs="仿宋_GB2312"/>
          <w:color w:val="auto"/>
          <w:sz w:val="32"/>
          <w:szCs w:val="32"/>
          <w:shd w:val="clear" w:color="auto" w:fill="FFFFFF"/>
        </w:rPr>
        <w:t>第二十七条</w:t>
      </w:r>
      <w:r>
        <w:rPr>
          <w:rFonts w:hint="eastAsia" w:ascii="仿宋_GB2312" w:hAnsi="仿宋_GB2312" w:eastAsia="仿宋_GB2312" w:cs="仿宋_GB2312"/>
          <w:color w:val="auto"/>
          <w:sz w:val="32"/>
          <w:szCs w:val="32"/>
          <w:shd w:val="clear" w:color="auto" w:fill="FFFFFF"/>
        </w:rPr>
        <w:t> 报刊、图书、音像制品、电子出版物的编辑、出版、印制、发行，广播节目、电视节目、电影的制作和播放，互联网、移动通信网等公共信息网络及其他传媒的信息编辑、发布，应当遵守有关保密规定。</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right="0" w:firstLine="643" w:firstLineChars="200"/>
        <w:textAlignment w:val="auto"/>
        <w:rPr>
          <w:rFonts w:hint="eastAsia" w:ascii="仿宋_GB2312" w:hAnsi="仿宋_GB2312" w:eastAsia="仿宋_GB2312" w:cs="仿宋_GB2312"/>
          <w:color w:val="auto"/>
          <w:sz w:val="32"/>
          <w:szCs w:val="32"/>
        </w:rPr>
      </w:pPr>
      <w:r>
        <w:rPr>
          <w:rStyle w:val="15"/>
          <w:rFonts w:hint="eastAsia" w:ascii="仿宋_GB2312" w:hAnsi="仿宋_GB2312" w:eastAsia="仿宋_GB2312" w:cs="仿宋_GB2312"/>
          <w:color w:val="auto"/>
          <w:sz w:val="32"/>
          <w:szCs w:val="32"/>
          <w:shd w:val="clear" w:color="auto" w:fill="FFFFFF"/>
        </w:rPr>
        <w:t>第二十八条</w:t>
      </w:r>
      <w:r>
        <w:rPr>
          <w:rFonts w:hint="eastAsia" w:ascii="仿宋_GB2312" w:hAnsi="仿宋_GB2312" w:eastAsia="仿宋_GB2312" w:cs="仿宋_GB2312"/>
          <w:color w:val="auto"/>
          <w:sz w:val="32"/>
          <w:szCs w:val="32"/>
          <w:shd w:val="clear" w:color="auto" w:fill="FFFFFF"/>
        </w:rPr>
        <w:t> 互联网及其他公共信息网络运营商、服务商应当配合公安机关、国家安全机关、检察机关对泄密案件进行调查；发现利用互联网及其他公共信息网络发布的信息涉及泄露国家秘密的，应当立即停止传输，保存有关记录，向公安机关、国家安全机关或者保密行政管理部门报告；应当根据公安机关、国家安全机关或者保密行政管理部门的要求，删除涉及泄露国家秘密的信息。</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right="0" w:firstLine="643" w:firstLineChars="200"/>
        <w:textAlignment w:val="auto"/>
        <w:rPr>
          <w:rFonts w:hint="eastAsia" w:ascii="仿宋_GB2312" w:hAnsi="仿宋_GB2312" w:eastAsia="仿宋_GB2312" w:cs="仿宋_GB2312"/>
          <w:color w:val="auto"/>
          <w:sz w:val="32"/>
          <w:szCs w:val="32"/>
        </w:rPr>
      </w:pPr>
      <w:r>
        <w:rPr>
          <w:rStyle w:val="15"/>
          <w:rFonts w:hint="eastAsia" w:ascii="仿宋_GB2312" w:hAnsi="仿宋_GB2312" w:eastAsia="仿宋_GB2312" w:cs="仿宋_GB2312"/>
          <w:color w:val="auto"/>
          <w:sz w:val="32"/>
          <w:szCs w:val="32"/>
          <w:shd w:val="clear" w:color="auto" w:fill="FFFFFF"/>
        </w:rPr>
        <w:t>第二十九条</w:t>
      </w:r>
      <w:r>
        <w:rPr>
          <w:rStyle w:val="15"/>
          <w:rFonts w:hint="eastAsia" w:ascii="仿宋_GB2312" w:hAnsi="仿宋_GB2312" w:eastAsia="仿宋_GB2312" w:cs="仿宋_GB2312"/>
          <w:color w:val="auto"/>
          <w:sz w:val="32"/>
          <w:szCs w:val="32"/>
          <w:shd w:val="clear" w:color="auto" w:fill="FFFFFF"/>
          <w:lang w:val="en-US" w:eastAsia="zh-CN"/>
        </w:rPr>
        <w:t xml:space="preserve"> </w:t>
      </w:r>
      <w:r>
        <w:rPr>
          <w:rFonts w:hint="eastAsia" w:ascii="仿宋_GB2312" w:hAnsi="仿宋_GB2312" w:eastAsia="仿宋_GB2312" w:cs="仿宋_GB2312"/>
          <w:color w:val="auto"/>
          <w:sz w:val="32"/>
          <w:szCs w:val="32"/>
          <w:shd w:val="clear" w:color="auto" w:fill="FFFFFF"/>
        </w:rPr>
        <w:t>机关、单位公开发布信息以及对涉及国家秘密的工程、货物、服务进行采购时，应当遵守保密规定。</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right="0" w:firstLine="643" w:firstLineChars="200"/>
        <w:textAlignment w:val="auto"/>
        <w:rPr>
          <w:rFonts w:hint="eastAsia" w:ascii="仿宋_GB2312" w:hAnsi="仿宋_GB2312" w:eastAsia="仿宋_GB2312" w:cs="仿宋_GB2312"/>
          <w:color w:val="auto"/>
          <w:sz w:val="32"/>
          <w:szCs w:val="32"/>
        </w:rPr>
      </w:pPr>
      <w:r>
        <w:rPr>
          <w:rStyle w:val="15"/>
          <w:rFonts w:hint="eastAsia" w:ascii="仿宋_GB2312" w:hAnsi="仿宋_GB2312" w:eastAsia="仿宋_GB2312" w:cs="仿宋_GB2312"/>
          <w:color w:val="auto"/>
          <w:sz w:val="32"/>
          <w:szCs w:val="32"/>
          <w:shd w:val="clear" w:color="auto" w:fill="FFFFFF"/>
        </w:rPr>
        <w:t>第三十条</w:t>
      </w:r>
      <w:r>
        <w:rPr>
          <w:rFonts w:hint="eastAsia" w:ascii="仿宋_GB2312" w:hAnsi="仿宋_GB2312" w:eastAsia="仿宋_GB2312" w:cs="仿宋_GB2312"/>
          <w:color w:val="auto"/>
          <w:sz w:val="32"/>
          <w:szCs w:val="32"/>
          <w:shd w:val="clear" w:color="auto" w:fill="FFFFFF"/>
        </w:rPr>
        <w:t> </w:t>
      </w:r>
      <w:r>
        <w:rPr>
          <w:rFonts w:hint="eastAsia" w:ascii="仿宋_GB2312" w:hAnsi="仿宋_GB2312" w:eastAsia="仿宋_GB2312" w:cs="仿宋_GB2312"/>
          <w:color w:val="auto"/>
          <w:sz w:val="32"/>
          <w:szCs w:val="32"/>
          <w:shd w:val="clear" w:color="auto" w:fill="FFFFFF"/>
          <w:lang w:val="en-US" w:eastAsia="zh-CN"/>
        </w:rPr>
        <w:t xml:space="preserve"> </w:t>
      </w:r>
      <w:r>
        <w:rPr>
          <w:rFonts w:hint="eastAsia" w:ascii="仿宋_GB2312" w:hAnsi="仿宋_GB2312" w:eastAsia="仿宋_GB2312" w:cs="仿宋_GB2312"/>
          <w:color w:val="auto"/>
          <w:sz w:val="32"/>
          <w:szCs w:val="32"/>
          <w:shd w:val="clear" w:color="auto" w:fill="FFFFFF"/>
        </w:rPr>
        <w:t>机关、单位对外交往与合作中需要提供国家秘密事项，或者任用、聘用的境外人员因工作需要知悉国家秘密的，应当报国务院有关主管部门或者省、自治区、直辖市人民政府有关主管部门批准，并与对方签订保密协议。</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right="0" w:firstLine="643" w:firstLineChars="200"/>
        <w:textAlignment w:val="auto"/>
        <w:rPr>
          <w:rFonts w:hint="eastAsia" w:ascii="仿宋_GB2312" w:hAnsi="仿宋_GB2312" w:eastAsia="仿宋_GB2312" w:cs="仿宋_GB2312"/>
          <w:color w:val="auto"/>
          <w:sz w:val="32"/>
          <w:szCs w:val="32"/>
        </w:rPr>
      </w:pPr>
      <w:r>
        <w:rPr>
          <w:rStyle w:val="15"/>
          <w:rFonts w:hint="eastAsia" w:ascii="仿宋_GB2312" w:hAnsi="仿宋_GB2312" w:eastAsia="仿宋_GB2312" w:cs="仿宋_GB2312"/>
          <w:color w:val="auto"/>
          <w:sz w:val="32"/>
          <w:szCs w:val="32"/>
          <w:shd w:val="clear" w:color="auto" w:fill="FFFFFF"/>
        </w:rPr>
        <w:t>第三十一条</w:t>
      </w:r>
      <w:r>
        <w:rPr>
          <w:rFonts w:hint="eastAsia" w:ascii="仿宋_GB2312" w:hAnsi="仿宋_GB2312" w:eastAsia="仿宋_GB2312" w:cs="仿宋_GB2312"/>
          <w:color w:val="auto"/>
          <w:sz w:val="32"/>
          <w:szCs w:val="32"/>
          <w:shd w:val="clear" w:color="auto" w:fill="FFFFFF"/>
        </w:rPr>
        <w:t> 举办会议或者其他活动涉及国家秘密的，主办单位应当采取保密措施，并对参加人员进行保密教育，提出具体保密要求。</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right="0" w:firstLine="643" w:firstLineChars="200"/>
        <w:textAlignment w:val="auto"/>
        <w:rPr>
          <w:rFonts w:hint="eastAsia" w:ascii="仿宋_GB2312" w:hAnsi="仿宋_GB2312" w:eastAsia="仿宋_GB2312" w:cs="仿宋_GB2312"/>
          <w:color w:val="auto"/>
          <w:sz w:val="32"/>
          <w:szCs w:val="32"/>
        </w:rPr>
      </w:pPr>
      <w:r>
        <w:rPr>
          <w:rStyle w:val="15"/>
          <w:rFonts w:hint="eastAsia" w:ascii="仿宋_GB2312" w:hAnsi="仿宋_GB2312" w:eastAsia="仿宋_GB2312" w:cs="仿宋_GB2312"/>
          <w:color w:val="auto"/>
          <w:sz w:val="32"/>
          <w:szCs w:val="32"/>
          <w:shd w:val="clear" w:color="auto" w:fill="FFFFFF"/>
        </w:rPr>
        <w:t>第三十二条</w:t>
      </w:r>
      <w:r>
        <w:rPr>
          <w:rFonts w:hint="eastAsia" w:ascii="仿宋_GB2312" w:hAnsi="仿宋_GB2312" w:eastAsia="仿宋_GB2312" w:cs="仿宋_GB2312"/>
          <w:color w:val="auto"/>
          <w:sz w:val="32"/>
          <w:szCs w:val="32"/>
          <w:shd w:val="clear" w:color="auto" w:fill="FFFFFF"/>
        </w:rPr>
        <w:t> 机关、单位应当将涉及绝密级或者较多机密级、秘密级国家秘密的机构确定为保密要害部门，将集中制作、存放、保管国家秘密载体的专门场所确定为保密要害部位，按照国家保密规定和标准配备、使用必要的技术防护设施、设备。</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right="0" w:firstLine="643" w:firstLineChars="200"/>
        <w:textAlignment w:val="auto"/>
        <w:rPr>
          <w:rFonts w:hint="eastAsia" w:ascii="仿宋_GB2312" w:hAnsi="仿宋_GB2312" w:eastAsia="仿宋_GB2312" w:cs="仿宋_GB2312"/>
          <w:color w:val="auto"/>
          <w:sz w:val="32"/>
          <w:szCs w:val="32"/>
        </w:rPr>
      </w:pPr>
      <w:r>
        <w:rPr>
          <w:rStyle w:val="15"/>
          <w:rFonts w:hint="eastAsia" w:ascii="仿宋_GB2312" w:hAnsi="仿宋_GB2312" w:eastAsia="仿宋_GB2312" w:cs="仿宋_GB2312"/>
          <w:color w:val="auto"/>
          <w:sz w:val="32"/>
          <w:szCs w:val="32"/>
          <w:shd w:val="clear" w:color="auto" w:fill="FFFFFF"/>
        </w:rPr>
        <w:t>第三十三条</w:t>
      </w:r>
      <w:r>
        <w:rPr>
          <w:rFonts w:hint="eastAsia" w:ascii="仿宋_GB2312" w:hAnsi="仿宋_GB2312" w:eastAsia="仿宋_GB2312" w:cs="仿宋_GB2312"/>
          <w:color w:val="auto"/>
          <w:sz w:val="32"/>
          <w:szCs w:val="32"/>
          <w:shd w:val="clear" w:color="auto" w:fill="FFFFFF"/>
        </w:rPr>
        <w:t> 军事禁区和属于国家秘密不对外开放的其他场所、部位，应当采取保密措施，未经有关部门批准，不得擅自决定对外开放或者扩大开放范围。</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right="0" w:firstLine="643" w:firstLineChars="200"/>
        <w:textAlignment w:val="auto"/>
        <w:rPr>
          <w:rFonts w:hint="eastAsia" w:ascii="仿宋_GB2312" w:hAnsi="仿宋_GB2312" w:eastAsia="仿宋_GB2312" w:cs="仿宋_GB2312"/>
          <w:color w:val="auto"/>
          <w:sz w:val="32"/>
          <w:szCs w:val="32"/>
        </w:rPr>
      </w:pPr>
      <w:r>
        <w:rPr>
          <w:rStyle w:val="15"/>
          <w:rFonts w:hint="eastAsia" w:ascii="仿宋_GB2312" w:hAnsi="仿宋_GB2312" w:eastAsia="仿宋_GB2312" w:cs="仿宋_GB2312"/>
          <w:color w:val="auto"/>
          <w:sz w:val="32"/>
          <w:szCs w:val="32"/>
          <w:shd w:val="clear" w:color="auto" w:fill="FFFFFF"/>
        </w:rPr>
        <w:t>第三十四条</w:t>
      </w:r>
      <w:r>
        <w:rPr>
          <w:rFonts w:hint="eastAsia" w:ascii="仿宋_GB2312" w:hAnsi="仿宋_GB2312" w:eastAsia="仿宋_GB2312" w:cs="仿宋_GB2312"/>
          <w:color w:val="auto"/>
          <w:sz w:val="32"/>
          <w:szCs w:val="32"/>
          <w:shd w:val="clear" w:color="auto" w:fill="FFFFFF"/>
        </w:rPr>
        <w:t> 从事国家秘密载体制作、复制、维修、销毁，涉密信息系统集成，或者武器装备科研生产等涉及国家秘密业务的企业事业单位，应当经过保密审查，具体办法由国务院规定。</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right="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shd w:val="clear" w:color="auto" w:fill="FFFFFF"/>
        </w:rPr>
        <w:t>机关、单位委托企业事业单位从事前款规定的业务，应当与其签订保密协议，提出保密要求，采取保密措施。</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right="0" w:firstLine="643" w:firstLineChars="200"/>
        <w:textAlignment w:val="auto"/>
        <w:rPr>
          <w:rFonts w:hint="eastAsia" w:ascii="仿宋_GB2312" w:hAnsi="仿宋_GB2312" w:eastAsia="仿宋_GB2312" w:cs="仿宋_GB2312"/>
          <w:color w:val="auto"/>
          <w:sz w:val="32"/>
          <w:szCs w:val="32"/>
        </w:rPr>
      </w:pPr>
      <w:r>
        <w:rPr>
          <w:rStyle w:val="15"/>
          <w:rFonts w:hint="eastAsia" w:ascii="仿宋_GB2312" w:hAnsi="仿宋_GB2312" w:eastAsia="仿宋_GB2312" w:cs="仿宋_GB2312"/>
          <w:color w:val="auto"/>
          <w:sz w:val="32"/>
          <w:szCs w:val="32"/>
          <w:shd w:val="clear" w:color="auto" w:fill="FFFFFF"/>
        </w:rPr>
        <w:t>第三十五条 </w:t>
      </w:r>
      <w:r>
        <w:rPr>
          <w:rFonts w:hint="eastAsia" w:ascii="仿宋_GB2312" w:hAnsi="仿宋_GB2312" w:eastAsia="仿宋_GB2312" w:cs="仿宋_GB2312"/>
          <w:color w:val="auto"/>
          <w:sz w:val="32"/>
          <w:szCs w:val="32"/>
          <w:shd w:val="clear" w:color="auto" w:fill="FFFFFF"/>
        </w:rPr>
        <w:t>在涉密岗位工作的人员(以下简称涉密人员)，按照涉密程度分为核心涉密人员、重要涉密人员和一般涉密人员，实行分类管理。</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right="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shd w:val="clear" w:color="auto" w:fill="FFFFFF"/>
        </w:rPr>
        <w:t>任用、聘用涉密人员应当按照有关规定进行审查。</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right="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shd w:val="clear" w:color="auto" w:fill="FFFFFF"/>
        </w:rPr>
        <w:t>涉密人员应当具有良好的政治素质和品行，具有胜任涉密岗位所要求的工作能力。</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right="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shd w:val="clear" w:color="auto" w:fill="FFFFFF"/>
        </w:rPr>
        <w:t>涉密人员的合法权益受法律保护。</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right="0" w:firstLine="643" w:firstLineChars="200"/>
        <w:textAlignment w:val="auto"/>
        <w:rPr>
          <w:rFonts w:hint="eastAsia" w:ascii="仿宋_GB2312" w:hAnsi="仿宋_GB2312" w:eastAsia="仿宋_GB2312" w:cs="仿宋_GB2312"/>
          <w:color w:val="auto"/>
          <w:sz w:val="32"/>
          <w:szCs w:val="32"/>
        </w:rPr>
      </w:pPr>
      <w:r>
        <w:rPr>
          <w:rStyle w:val="15"/>
          <w:rFonts w:hint="eastAsia" w:ascii="仿宋_GB2312" w:hAnsi="仿宋_GB2312" w:eastAsia="仿宋_GB2312" w:cs="仿宋_GB2312"/>
          <w:color w:val="auto"/>
          <w:sz w:val="32"/>
          <w:szCs w:val="32"/>
          <w:shd w:val="clear" w:color="auto" w:fill="FFFFFF"/>
        </w:rPr>
        <w:t>第三十六条 </w:t>
      </w:r>
      <w:r>
        <w:rPr>
          <w:rFonts w:hint="eastAsia" w:ascii="仿宋_GB2312" w:hAnsi="仿宋_GB2312" w:eastAsia="仿宋_GB2312" w:cs="仿宋_GB2312"/>
          <w:color w:val="auto"/>
          <w:sz w:val="32"/>
          <w:szCs w:val="32"/>
          <w:shd w:val="clear" w:color="auto" w:fill="FFFFFF"/>
        </w:rPr>
        <w:t>涉密人员上岗应当经过保密教育培训，掌握保密知识技能，签订保密承诺书，严格遵守保密规章制度，不得以任何方式泄露国家秘密。</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right="0" w:firstLine="643" w:firstLineChars="200"/>
        <w:textAlignment w:val="auto"/>
        <w:rPr>
          <w:rFonts w:hint="eastAsia" w:ascii="仿宋_GB2312" w:hAnsi="仿宋_GB2312" w:eastAsia="仿宋_GB2312" w:cs="仿宋_GB2312"/>
          <w:color w:val="auto"/>
          <w:sz w:val="32"/>
          <w:szCs w:val="32"/>
        </w:rPr>
      </w:pPr>
      <w:r>
        <w:rPr>
          <w:rStyle w:val="15"/>
          <w:rFonts w:hint="eastAsia" w:ascii="仿宋_GB2312" w:hAnsi="仿宋_GB2312" w:eastAsia="仿宋_GB2312" w:cs="仿宋_GB2312"/>
          <w:color w:val="auto"/>
          <w:sz w:val="32"/>
          <w:szCs w:val="32"/>
          <w:shd w:val="clear" w:color="auto" w:fill="FFFFFF"/>
        </w:rPr>
        <w:t>第三十七条</w:t>
      </w:r>
      <w:r>
        <w:rPr>
          <w:rFonts w:hint="eastAsia" w:ascii="仿宋_GB2312" w:hAnsi="仿宋_GB2312" w:eastAsia="仿宋_GB2312" w:cs="仿宋_GB2312"/>
          <w:color w:val="auto"/>
          <w:sz w:val="32"/>
          <w:szCs w:val="32"/>
          <w:shd w:val="clear" w:color="auto" w:fill="FFFFFF"/>
        </w:rPr>
        <w:t> 涉密人员出境应当经有关部门批准，有关机关认为涉密人员出境将对国家安全造成危害或者对国家利益造成重大损失的，不得批准出境。</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right="0" w:firstLine="643" w:firstLineChars="200"/>
        <w:textAlignment w:val="auto"/>
        <w:rPr>
          <w:rFonts w:hint="eastAsia" w:ascii="仿宋_GB2312" w:hAnsi="仿宋_GB2312" w:eastAsia="仿宋_GB2312" w:cs="仿宋_GB2312"/>
          <w:color w:val="auto"/>
          <w:sz w:val="32"/>
          <w:szCs w:val="32"/>
        </w:rPr>
      </w:pPr>
      <w:r>
        <w:rPr>
          <w:rStyle w:val="15"/>
          <w:rFonts w:hint="eastAsia" w:ascii="仿宋_GB2312" w:hAnsi="仿宋_GB2312" w:eastAsia="仿宋_GB2312" w:cs="仿宋_GB2312"/>
          <w:color w:val="auto"/>
          <w:sz w:val="32"/>
          <w:szCs w:val="32"/>
          <w:shd w:val="clear" w:color="auto" w:fill="FFFFFF"/>
        </w:rPr>
        <w:t>第三十八条</w:t>
      </w:r>
      <w:r>
        <w:rPr>
          <w:rFonts w:hint="eastAsia" w:ascii="仿宋_GB2312" w:hAnsi="仿宋_GB2312" w:eastAsia="仿宋_GB2312" w:cs="仿宋_GB2312"/>
          <w:color w:val="auto"/>
          <w:sz w:val="32"/>
          <w:szCs w:val="32"/>
          <w:shd w:val="clear" w:color="auto" w:fill="FFFFFF"/>
        </w:rPr>
        <w:t> 涉密人员离岗离职实行脱密期管理。涉密人员在脱密期内，应当按照规定履行保密义务，不得违反规定就业，不得以任何方式泄露国家秘密。</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right="0" w:firstLine="643" w:firstLineChars="200"/>
        <w:textAlignment w:val="auto"/>
        <w:rPr>
          <w:rFonts w:hint="eastAsia" w:ascii="仿宋_GB2312" w:hAnsi="仿宋_GB2312" w:eastAsia="仿宋_GB2312" w:cs="仿宋_GB2312"/>
          <w:color w:val="auto"/>
          <w:sz w:val="32"/>
          <w:szCs w:val="32"/>
        </w:rPr>
      </w:pPr>
      <w:r>
        <w:rPr>
          <w:rStyle w:val="15"/>
          <w:rFonts w:hint="eastAsia" w:ascii="仿宋_GB2312" w:hAnsi="仿宋_GB2312" w:eastAsia="仿宋_GB2312" w:cs="仿宋_GB2312"/>
          <w:color w:val="auto"/>
          <w:sz w:val="32"/>
          <w:szCs w:val="32"/>
          <w:shd w:val="clear" w:color="auto" w:fill="FFFFFF"/>
        </w:rPr>
        <w:t>第三十九条</w:t>
      </w:r>
      <w:r>
        <w:rPr>
          <w:rFonts w:hint="eastAsia" w:ascii="仿宋_GB2312" w:hAnsi="仿宋_GB2312" w:eastAsia="仿宋_GB2312" w:cs="仿宋_GB2312"/>
          <w:color w:val="auto"/>
          <w:sz w:val="32"/>
          <w:szCs w:val="32"/>
          <w:shd w:val="clear" w:color="auto" w:fill="FFFFFF"/>
        </w:rPr>
        <w:t> 机关、单位应当建立健全涉密人员管理制度，明确涉密人员的权利、岗位责任和要求，对涉密人员履行职责情况开展经常性的监督检查。</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right="0" w:firstLine="643" w:firstLineChars="200"/>
        <w:textAlignment w:val="auto"/>
        <w:rPr>
          <w:rFonts w:hint="eastAsia" w:ascii="仿宋_GB2312" w:hAnsi="仿宋_GB2312" w:eastAsia="仿宋_GB2312" w:cs="仿宋_GB2312"/>
          <w:color w:val="auto"/>
          <w:sz w:val="32"/>
          <w:szCs w:val="32"/>
        </w:rPr>
      </w:pPr>
      <w:r>
        <w:rPr>
          <w:rStyle w:val="15"/>
          <w:rFonts w:hint="eastAsia" w:ascii="仿宋_GB2312" w:hAnsi="仿宋_GB2312" w:eastAsia="仿宋_GB2312" w:cs="仿宋_GB2312"/>
          <w:color w:val="auto"/>
          <w:sz w:val="32"/>
          <w:szCs w:val="32"/>
          <w:shd w:val="clear" w:color="auto" w:fill="FFFFFF"/>
        </w:rPr>
        <w:t>第四十条 </w:t>
      </w:r>
      <w:r>
        <w:rPr>
          <w:rFonts w:hint="eastAsia" w:ascii="仿宋_GB2312" w:hAnsi="仿宋_GB2312" w:eastAsia="仿宋_GB2312" w:cs="仿宋_GB2312"/>
          <w:color w:val="auto"/>
          <w:sz w:val="32"/>
          <w:szCs w:val="32"/>
          <w:shd w:val="clear" w:color="auto" w:fill="FFFFFF"/>
        </w:rPr>
        <w:t>国家工作人员或者其他公民发现国家秘密已经泄露或者可能泄露时，应当立即采取补救措施并及时报告有关机关、单位。机关、单位接到报告后，应当立即作出处理，并及时向保密行政管理部门报告。</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jc w:val="center"/>
        <w:textAlignment w:val="auto"/>
        <w:rPr>
          <w:rFonts w:hint="eastAsia" w:ascii="仿宋_GB2312" w:hAnsi="仿宋_GB2312" w:eastAsia="仿宋_GB2312" w:cs="仿宋_GB2312"/>
          <w:b/>
          <w:bCs/>
          <w:kern w:val="0"/>
          <w:sz w:val="32"/>
          <w:szCs w:val="32"/>
          <w:lang w:val="en-US" w:eastAsia="zh-CN" w:bidi="ar"/>
        </w:rPr>
      </w:pPr>
      <w:bookmarkStart w:id="94" w:name="_Toc6193"/>
      <w:bookmarkStart w:id="95" w:name="_Toc13049"/>
      <w:bookmarkStart w:id="96" w:name="_Toc18487"/>
      <w:bookmarkStart w:id="97" w:name="_Toc23670"/>
      <w:bookmarkStart w:id="98" w:name="_Toc30773"/>
      <w:bookmarkStart w:id="99" w:name="_Toc27492"/>
      <w:bookmarkStart w:id="100" w:name="_Toc15446"/>
      <w:bookmarkStart w:id="101" w:name="_Toc17931"/>
      <w:bookmarkStart w:id="102" w:name="_Toc14882"/>
      <w:r>
        <w:rPr>
          <w:rFonts w:hint="eastAsia" w:ascii="仿宋_GB2312" w:hAnsi="仿宋_GB2312" w:eastAsia="仿宋_GB2312" w:cs="仿宋_GB2312"/>
          <w:b/>
          <w:bCs/>
          <w:kern w:val="0"/>
          <w:sz w:val="32"/>
          <w:szCs w:val="32"/>
          <w:lang w:val="en-US" w:eastAsia="zh-CN" w:bidi="ar"/>
        </w:rPr>
        <w:t>第四章  监督管理</w:t>
      </w:r>
      <w:bookmarkEnd w:id="94"/>
      <w:bookmarkEnd w:id="95"/>
      <w:bookmarkEnd w:id="96"/>
      <w:bookmarkEnd w:id="97"/>
      <w:bookmarkEnd w:id="98"/>
      <w:bookmarkEnd w:id="99"/>
      <w:bookmarkEnd w:id="100"/>
      <w:bookmarkEnd w:id="101"/>
      <w:bookmarkEnd w:id="102"/>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right="0" w:firstLine="643" w:firstLineChars="200"/>
        <w:textAlignment w:val="auto"/>
        <w:rPr>
          <w:rFonts w:hint="eastAsia" w:ascii="仿宋_GB2312" w:hAnsi="仿宋_GB2312" w:eastAsia="仿宋_GB2312" w:cs="仿宋_GB2312"/>
          <w:color w:val="auto"/>
          <w:sz w:val="32"/>
          <w:szCs w:val="32"/>
        </w:rPr>
      </w:pPr>
      <w:r>
        <w:rPr>
          <w:rStyle w:val="15"/>
          <w:rFonts w:hint="eastAsia" w:ascii="仿宋_GB2312" w:hAnsi="仿宋_GB2312" w:eastAsia="仿宋_GB2312" w:cs="仿宋_GB2312"/>
          <w:color w:val="auto"/>
          <w:sz w:val="32"/>
          <w:szCs w:val="32"/>
          <w:shd w:val="clear" w:color="auto" w:fill="FFFFFF"/>
        </w:rPr>
        <w:t>第四十一条 </w:t>
      </w:r>
      <w:r>
        <w:rPr>
          <w:rFonts w:hint="eastAsia" w:ascii="仿宋_GB2312" w:hAnsi="仿宋_GB2312" w:eastAsia="仿宋_GB2312" w:cs="仿宋_GB2312"/>
          <w:color w:val="auto"/>
          <w:sz w:val="32"/>
          <w:szCs w:val="32"/>
          <w:shd w:val="clear" w:color="auto" w:fill="FFFFFF"/>
        </w:rPr>
        <w:t>国家保密行政管理部门依照法律、行政法规的规定，制定保密规章和国家保密标准。</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right="0" w:firstLine="643" w:firstLineChars="200"/>
        <w:textAlignment w:val="auto"/>
        <w:rPr>
          <w:rFonts w:hint="eastAsia" w:ascii="仿宋_GB2312" w:hAnsi="仿宋_GB2312" w:eastAsia="仿宋_GB2312" w:cs="仿宋_GB2312"/>
          <w:color w:val="auto"/>
          <w:sz w:val="32"/>
          <w:szCs w:val="32"/>
        </w:rPr>
      </w:pPr>
      <w:r>
        <w:rPr>
          <w:rStyle w:val="15"/>
          <w:rFonts w:hint="eastAsia" w:ascii="仿宋_GB2312" w:hAnsi="仿宋_GB2312" w:eastAsia="仿宋_GB2312" w:cs="仿宋_GB2312"/>
          <w:color w:val="auto"/>
          <w:sz w:val="32"/>
          <w:szCs w:val="32"/>
          <w:shd w:val="clear" w:color="auto" w:fill="FFFFFF"/>
        </w:rPr>
        <w:t>第四十二条</w:t>
      </w:r>
      <w:r>
        <w:rPr>
          <w:rFonts w:hint="eastAsia" w:ascii="仿宋_GB2312" w:hAnsi="仿宋_GB2312" w:eastAsia="仿宋_GB2312" w:cs="仿宋_GB2312"/>
          <w:color w:val="auto"/>
          <w:sz w:val="32"/>
          <w:szCs w:val="32"/>
          <w:shd w:val="clear" w:color="auto" w:fill="FFFFFF"/>
        </w:rPr>
        <w:t> 保密行政管理部门依法组织开展保密宣传教育、保密检查、保密技术防护和泄密案件查处工作，对机关、单位的保密工作进行指导和监督。</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right="0" w:firstLine="643" w:firstLineChars="200"/>
        <w:textAlignment w:val="auto"/>
        <w:rPr>
          <w:rFonts w:hint="eastAsia" w:ascii="仿宋_GB2312" w:hAnsi="仿宋_GB2312" w:eastAsia="仿宋_GB2312" w:cs="仿宋_GB2312"/>
          <w:color w:val="auto"/>
          <w:sz w:val="32"/>
          <w:szCs w:val="32"/>
        </w:rPr>
      </w:pPr>
      <w:r>
        <w:rPr>
          <w:rStyle w:val="15"/>
          <w:rFonts w:hint="eastAsia" w:ascii="仿宋_GB2312" w:hAnsi="仿宋_GB2312" w:eastAsia="仿宋_GB2312" w:cs="仿宋_GB2312"/>
          <w:color w:val="auto"/>
          <w:sz w:val="32"/>
          <w:szCs w:val="32"/>
          <w:shd w:val="clear" w:color="auto" w:fill="FFFFFF"/>
        </w:rPr>
        <w:t>第四十三条</w:t>
      </w:r>
      <w:r>
        <w:rPr>
          <w:rFonts w:hint="eastAsia" w:ascii="仿宋_GB2312" w:hAnsi="仿宋_GB2312" w:eastAsia="仿宋_GB2312" w:cs="仿宋_GB2312"/>
          <w:color w:val="auto"/>
          <w:sz w:val="32"/>
          <w:szCs w:val="32"/>
          <w:shd w:val="clear" w:color="auto" w:fill="FFFFFF"/>
        </w:rPr>
        <w:t> 保密行政管理部门发现国家秘密确定、变更或者解除不当的，应当及时通知有关机关、单位予以纠正。</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right="0" w:firstLine="643" w:firstLineChars="200"/>
        <w:textAlignment w:val="auto"/>
        <w:rPr>
          <w:rFonts w:hint="eastAsia" w:ascii="仿宋_GB2312" w:hAnsi="仿宋_GB2312" w:eastAsia="仿宋_GB2312" w:cs="仿宋_GB2312"/>
          <w:color w:val="auto"/>
          <w:sz w:val="32"/>
          <w:szCs w:val="32"/>
        </w:rPr>
      </w:pPr>
      <w:r>
        <w:rPr>
          <w:rStyle w:val="15"/>
          <w:rFonts w:hint="eastAsia" w:ascii="仿宋_GB2312" w:hAnsi="仿宋_GB2312" w:eastAsia="仿宋_GB2312" w:cs="仿宋_GB2312"/>
          <w:color w:val="auto"/>
          <w:sz w:val="32"/>
          <w:szCs w:val="32"/>
          <w:shd w:val="clear" w:color="auto" w:fill="FFFFFF"/>
        </w:rPr>
        <w:t>第四十四条 </w:t>
      </w:r>
      <w:r>
        <w:rPr>
          <w:rFonts w:hint="eastAsia" w:ascii="仿宋_GB2312" w:hAnsi="仿宋_GB2312" w:eastAsia="仿宋_GB2312" w:cs="仿宋_GB2312"/>
          <w:color w:val="auto"/>
          <w:sz w:val="32"/>
          <w:szCs w:val="32"/>
          <w:shd w:val="clear" w:color="auto" w:fill="FFFFFF"/>
        </w:rPr>
        <w:t>保密行政管理部门对机关、单位遵守保密制度的情况进行检查，有关机关、单位应当配合。保密行政管理部门发现机关、单位存在泄密隐患的，应当要求其采取措施，限期整改；对存在泄密隐患的设施、设备、场所，应当责令停止使用；对严重违反保密规定的涉密人员，应当建议有关机关、单位给予处分并调离涉密岗位；发现涉嫌泄露国家秘密的，应当督促、指导有关机关、单位进行调查处理。涉嫌犯罪的，移送司法机关处理。</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right="0" w:firstLine="643" w:firstLineChars="200"/>
        <w:textAlignment w:val="auto"/>
        <w:rPr>
          <w:rFonts w:hint="eastAsia" w:ascii="仿宋_GB2312" w:hAnsi="仿宋_GB2312" w:eastAsia="仿宋_GB2312" w:cs="仿宋_GB2312"/>
          <w:color w:val="auto"/>
          <w:sz w:val="32"/>
          <w:szCs w:val="32"/>
        </w:rPr>
      </w:pPr>
      <w:r>
        <w:rPr>
          <w:rStyle w:val="15"/>
          <w:rFonts w:hint="eastAsia" w:ascii="仿宋_GB2312" w:hAnsi="仿宋_GB2312" w:eastAsia="仿宋_GB2312" w:cs="仿宋_GB2312"/>
          <w:color w:val="auto"/>
          <w:sz w:val="32"/>
          <w:szCs w:val="32"/>
          <w:shd w:val="clear" w:color="auto" w:fill="FFFFFF"/>
        </w:rPr>
        <w:t>第四十五条</w:t>
      </w:r>
      <w:r>
        <w:rPr>
          <w:rFonts w:hint="eastAsia" w:ascii="仿宋_GB2312" w:hAnsi="仿宋_GB2312" w:eastAsia="仿宋_GB2312" w:cs="仿宋_GB2312"/>
          <w:color w:val="auto"/>
          <w:sz w:val="32"/>
          <w:szCs w:val="32"/>
          <w:shd w:val="clear" w:color="auto" w:fill="FFFFFF"/>
        </w:rPr>
        <w:t> 保密行政管理部门对保密检查中发现的非法获取、持有的国家秘密载体，应当予以收缴。</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right="0" w:firstLine="643" w:firstLineChars="200"/>
        <w:textAlignment w:val="auto"/>
        <w:rPr>
          <w:rFonts w:hint="eastAsia" w:ascii="仿宋_GB2312" w:hAnsi="仿宋_GB2312" w:eastAsia="仿宋_GB2312" w:cs="仿宋_GB2312"/>
          <w:color w:val="auto"/>
          <w:sz w:val="32"/>
          <w:szCs w:val="32"/>
        </w:rPr>
      </w:pPr>
      <w:r>
        <w:rPr>
          <w:rStyle w:val="15"/>
          <w:rFonts w:hint="eastAsia" w:ascii="仿宋_GB2312" w:hAnsi="仿宋_GB2312" w:eastAsia="仿宋_GB2312" w:cs="仿宋_GB2312"/>
          <w:color w:val="auto"/>
          <w:sz w:val="32"/>
          <w:szCs w:val="32"/>
          <w:shd w:val="clear" w:color="auto" w:fill="FFFFFF"/>
        </w:rPr>
        <w:t>第四十六条</w:t>
      </w:r>
      <w:r>
        <w:rPr>
          <w:rFonts w:hint="eastAsia" w:ascii="仿宋_GB2312" w:hAnsi="仿宋_GB2312" w:eastAsia="仿宋_GB2312" w:cs="仿宋_GB2312"/>
          <w:color w:val="auto"/>
          <w:sz w:val="32"/>
          <w:szCs w:val="32"/>
          <w:shd w:val="clear" w:color="auto" w:fill="FFFFFF"/>
        </w:rPr>
        <w:t> 办理涉嫌泄露国家秘密案件的机关，需要对有关事项是否属于国家秘密以及属于何种密级进行鉴定的，由国家保密行政管理部门或者省、自治区、直辖市保密行政管理部门鉴定。</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right="0" w:firstLine="643" w:firstLineChars="200"/>
        <w:textAlignment w:val="auto"/>
        <w:rPr>
          <w:rFonts w:hint="eastAsia" w:ascii="仿宋_GB2312" w:hAnsi="仿宋_GB2312" w:eastAsia="仿宋_GB2312" w:cs="仿宋_GB2312"/>
          <w:color w:val="auto"/>
          <w:sz w:val="32"/>
          <w:szCs w:val="32"/>
        </w:rPr>
      </w:pPr>
      <w:r>
        <w:rPr>
          <w:rStyle w:val="15"/>
          <w:rFonts w:hint="eastAsia" w:ascii="仿宋_GB2312" w:hAnsi="仿宋_GB2312" w:eastAsia="仿宋_GB2312" w:cs="仿宋_GB2312"/>
          <w:color w:val="auto"/>
          <w:sz w:val="32"/>
          <w:szCs w:val="32"/>
          <w:shd w:val="clear" w:color="auto" w:fill="FFFFFF"/>
        </w:rPr>
        <w:t>第四十七条 </w:t>
      </w:r>
      <w:r>
        <w:rPr>
          <w:rFonts w:hint="eastAsia" w:ascii="仿宋_GB2312" w:hAnsi="仿宋_GB2312" w:eastAsia="仿宋_GB2312" w:cs="仿宋_GB2312"/>
          <w:color w:val="auto"/>
          <w:sz w:val="32"/>
          <w:szCs w:val="32"/>
          <w:shd w:val="clear" w:color="auto" w:fill="FFFFFF"/>
        </w:rPr>
        <w:t>机关、单位对违反保密规定的人员不依法给予处分的，保密行政管理部门应当建议纠正，对拒不纠正的，提请其上一级机关或者监察机关对该机关、单位负有责任的领导人员和直接责任人员依法予以处理。</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jc w:val="center"/>
        <w:textAlignment w:val="auto"/>
        <w:rPr>
          <w:rFonts w:hint="eastAsia" w:ascii="仿宋_GB2312" w:hAnsi="仿宋_GB2312" w:eastAsia="仿宋_GB2312" w:cs="仿宋_GB2312"/>
          <w:b/>
          <w:bCs/>
          <w:kern w:val="0"/>
          <w:sz w:val="32"/>
          <w:szCs w:val="32"/>
          <w:lang w:val="en-US" w:eastAsia="zh-CN" w:bidi="ar"/>
        </w:rPr>
      </w:pPr>
      <w:bookmarkStart w:id="103" w:name="_Toc26144"/>
      <w:bookmarkStart w:id="104" w:name="_Toc15126"/>
      <w:bookmarkStart w:id="105" w:name="_Toc30260"/>
      <w:bookmarkStart w:id="106" w:name="_Toc32329"/>
      <w:bookmarkStart w:id="107" w:name="_Toc22065"/>
      <w:bookmarkStart w:id="108" w:name="_Toc12182"/>
      <w:bookmarkStart w:id="109" w:name="_Toc20063"/>
      <w:bookmarkStart w:id="110" w:name="_Toc19967"/>
      <w:bookmarkStart w:id="111" w:name="_Toc463"/>
      <w:r>
        <w:rPr>
          <w:rFonts w:hint="eastAsia" w:ascii="仿宋_GB2312" w:hAnsi="仿宋_GB2312" w:eastAsia="仿宋_GB2312" w:cs="仿宋_GB2312"/>
          <w:b/>
          <w:bCs/>
          <w:kern w:val="0"/>
          <w:sz w:val="32"/>
          <w:szCs w:val="32"/>
          <w:lang w:val="en-US" w:eastAsia="zh-CN" w:bidi="ar"/>
        </w:rPr>
        <w:t>第五章  法律责任</w:t>
      </w:r>
      <w:bookmarkEnd w:id="103"/>
      <w:bookmarkEnd w:id="104"/>
      <w:bookmarkEnd w:id="105"/>
      <w:bookmarkEnd w:id="106"/>
      <w:bookmarkEnd w:id="107"/>
      <w:bookmarkEnd w:id="108"/>
      <w:bookmarkEnd w:id="109"/>
      <w:bookmarkEnd w:id="110"/>
      <w:bookmarkEnd w:id="111"/>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right="0" w:firstLine="643" w:firstLineChars="200"/>
        <w:textAlignment w:val="auto"/>
        <w:rPr>
          <w:rFonts w:hint="eastAsia" w:ascii="仿宋_GB2312" w:hAnsi="仿宋_GB2312" w:eastAsia="仿宋_GB2312" w:cs="仿宋_GB2312"/>
          <w:color w:val="auto"/>
          <w:sz w:val="32"/>
          <w:szCs w:val="32"/>
        </w:rPr>
      </w:pPr>
      <w:r>
        <w:rPr>
          <w:rStyle w:val="15"/>
          <w:rFonts w:hint="eastAsia" w:ascii="仿宋_GB2312" w:hAnsi="仿宋_GB2312" w:eastAsia="仿宋_GB2312" w:cs="仿宋_GB2312"/>
          <w:color w:val="auto"/>
          <w:sz w:val="32"/>
          <w:szCs w:val="32"/>
          <w:shd w:val="clear" w:color="auto" w:fill="FFFFFF"/>
        </w:rPr>
        <w:t>第四十八条 </w:t>
      </w:r>
      <w:r>
        <w:rPr>
          <w:rFonts w:hint="eastAsia" w:ascii="仿宋_GB2312" w:hAnsi="仿宋_GB2312" w:eastAsia="仿宋_GB2312" w:cs="仿宋_GB2312"/>
          <w:color w:val="auto"/>
          <w:sz w:val="32"/>
          <w:szCs w:val="32"/>
          <w:shd w:val="clear" w:color="auto" w:fill="FFFFFF"/>
        </w:rPr>
        <w:t>违反本法规定，有下列行为之一的，依法给予处分；构成犯罪的，依法追究刑事责任：</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right="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shd w:val="clear" w:color="auto" w:fill="FFFFFF"/>
        </w:rPr>
        <w:t>(一)非法获取、持有国家秘密载体的；</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right="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shd w:val="clear" w:color="auto" w:fill="FFFFFF"/>
        </w:rPr>
        <w:t>(二)买卖、转送或者私自销毁国家秘密载体的；</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right="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shd w:val="clear" w:color="auto" w:fill="FFFFFF"/>
        </w:rPr>
        <w:t>(三)通过普通邮政、快递等无保密措施的渠道传递国家秘密载体的；</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right="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shd w:val="clear" w:color="auto" w:fill="FFFFFF"/>
        </w:rPr>
        <w:t>(四)邮寄、托运国家秘密载体出境，或者未经有关主管部门批准，携带、传递国家秘密载体出境的；</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right="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shd w:val="clear" w:color="auto" w:fill="FFFFFF"/>
        </w:rPr>
        <w:t>(五)非法复制、记录、存储国家秘密的；</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right="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shd w:val="clear" w:color="auto" w:fill="FFFFFF"/>
        </w:rPr>
        <w:t>(六)在私人交往和通信中涉及国家秘密的；</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right="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shd w:val="clear" w:color="auto" w:fill="FFFFFF"/>
        </w:rPr>
        <w:t>(七)在互联网及其他公共信息网络或者未采取保密措施的有线和无线通信中传递国家秘密的；</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right="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shd w:val="clear" w:color="auto" w:fill="FFFFFF"/>
        </w:rPr>
        <w:t>(八)将涉密计算机、涉密存储设备接入互联网及其他公共信息网络的；</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right="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shd w:val="clear" w:color="auto" w:fill="FFFFFF"/>
        </w:rPr>
        <w:t>(九)在未采取防护措施的情况下，在涉密信息系统与互联网及其他公共信息网络之间进行信息交换的；</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right="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shd w:val="clear" w:color="auto" w:fill="FFFFFF"/>
        </w:rPr>
        <w:t>(十)使用非涉密计算机、非涉密存储设备存储、处理国家秘密信息的；</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right="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shd w:val="clear" w:color="auto" w:fill="FFFFFF"/>
        </w:rPr>
        <w:t>(十一)擅自卸载、修改涉密信息系统的安全技术程序、管理程序的；</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right="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shd w:val="clear" w:color="auto" w:fill="FFFFFF"/>
        </w:rPr>
        <w:t>(十二)将未经安全技术处理的退出使用的涉密计算机、涉密存储设备赠送、出售、丢弃或者改作其他用途的。</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right="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shd w:val="clear" w:color="auto" w:fill="FFFFFF"/>
        </w:rPr>
        <w:t>有前款行为尚不构成犯罪，且不适用处分的人员，由保密行政管理部门督促其所在机关、单位予以处理。</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right="0" w:firstLine="643" w:firstLineChars="200"/>
        <w:textAlignment w:val="auto"/>
        <w:rPr>
          <w:rFonts w:hint="eastAsia" w:ascii="仿宋_GB2312" w:hAnsi="仿宋_GB2312" w:eastAsia="仿宋_GB2312" w:cs="仿宋_GB2312"/>
          <w:color w:val="auto"/>
          <w:sz w:val="32"/>
          <w:szCs w:val="32"/>
        </w:rPr>
      </w:pPr>
      <w:r>
        <w:rPr>
          <w:rStyle w:val="15"/>
          <w:rFonts w:hint="eastAsia" w:ascii="仿宋_GB2312" w:hAnsi="仿宋_GB2312" w:eastAsia="仿宋_GB2312" w:cs="仿宋_GB2312"/>
          <w:color w:val="auto"/>
          <w:sz w:val="32"/>
          <w:szCs w:val="32"/>
          <w:shd w:val="clear" w:color="auto" w:fill="FFFFFF"/>
        </w:rPr>
        <w:t>第四十九条 </w:t>
      </w:r>
      <w:r>
        <w:rPr>
          <w:rFonts w:hint="eastAsia" w:ascii="仿宋_GB2312" w:hAnsi="仿宋_GB2312" w:eastAsia="仿宋_GB2312" w:cs="仿宋_GB2312"/>
          <w:color w:val="auto"/>
          <w:sz w:val="32"/>
          <w:szCs w:val="32"/>
          <w:shd w:val="clear" w:color="auto" w:fill="FFFFFF"/>
        </w:rPr>
        <w:t>机关、单位违反本法规定，发生重大泄密案件的，由有关机关、单位依法对直接负责的主管人员和其他直接责任人员给予处分；不适用处分的人员，由保密行政管理部门督促其主管部门予以处理。</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right="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shd w:val="clear" w:color="auto" w:fill="FFFFFF"/>
        </w:rPr>
        <w:t>机关、单位违反本法规定，对应当定密的事项不定密，或者对不应当定密的事项定密，造成严重后果的，由有关机关、单位依法对直接负责的主管人员和其他直接责任人员给予处分。</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right="0" w:firstLine="643" w:firstLineChars="200"/>
        <w:textAlignment w:val="auto"/>
        <w:rPr>
          <w:rFonts w:hint="eastAsia" w:ascii="仿宋_GB2312" w:hAnsi="仿宋_GB2312" w:eastAsia="仿宋_GB2312" w:cs="仿宋_GB2312"/>
          <w:color w:val="auto"/>
          <w:sz w:val="32"/>
          <w:szCs w:val="32"/>
        </w:rPr>
      </w:pPr>
      <w:r>
        <w:rPr>
          <w:rStyle w:val="15"/>
          <w:rFonts w:hint="eastAsia" w:ascii="仿宋_GB2312" w:hAnsi="仿宋_GB2312" w:eastAsia="仿宋_GB2312" w:cs="仿宋_GB2312"/>
          <w:color w:val="auto"/>
          <w:sz w:val="32"/>
          <w:szCs w:val="32"/>
          <w:shd w:val="clear" w:color="auto" w:fill="FFFFFF"/>
        </w:rPr>
        <w:t>第五十条 </w:t>
      </w:r>
      <w:r>
        <w:rPr>
          <w:rFonts w:hint="eastAsia" w:ascii="仿宋_GB2312" w:hAnsi="仿宋_GB2312" w:eastAsia="仿宋_GB2312" w:cs="仿宋_GB2312"/>
          <w:color w:val="auto"/>
          <w:sz w:val="32"/>
          <w:szCs w:val="32"/>
          <w:shd w:val="clear" w:color="auto" w:fill="FFFFFF"/>
        </w:rPr>
        <w:t>互联网及其他公共信息网络运营商、服务商违反本法第二十八条规定的，由公安机关或者国家安全机关、信息产业主管部门按照各自职责分工依法予以处罚。</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right="0" w:firstLine="643" w:firstLineChars="200"/>
        <w:textAlignment w:val="auto"/>
        <w:rPr>
          <w:rFonts w:hint="eastAsia" w:ascii="仿宋_GB2312" w:hAnsi="仿宋_GB2312" w:eastAsia="仿宋_GB2312" w:cs="仿宋_GB2312"/>
          <w:color w:val="auto"/>
          <w:sz w:val="32"/>
          <w:szCs w:val="32"/>
        </w:rPr>
      </w:pPr>
      <w:r>
        <w:rPr>
          <w:rStyle w:val="15"/>
          <w:rFonts w:hint="eastAsia" w:ascii="仿宋_GB2312" w:hAnsi="仿宋_GB2312" w:eastAsia="仿宋_GB2312" w:cs="仿宋_GB2312"/>
          <w:color w:val="auto"/>
          <w:sz w:val="32"/>
          <w:szCs w:val="32"/>
          <w:shd w:val="clear" w:color="auto" w:fill="FFFFFF"/>
        </w:rPr>
        <w:t>第五十一条</w:t>
      </w:r>
      <w:r>
        <w:rPr>
          <w:rFonts w:hint="eastAsia" w:ascii="仿宋_GB2312" w:hAnsi="仿宋_GB2312" w:eastAsia="仿宋_GB2312" w:cs="仿宋_GB2312"/>
          <w:color w:val="auto"/>
          <w:sz w:val="32"/>
          <w:szCs w:val="32"/>
          <w:shd w:val="clear" w:color="auto" w:fill="FFFFFF"/>
        </w:rPr>
        <w:t> 保密行政管理部门的工作人员在履行保密管理职责中滥用职权、玩忽职守、徇私舞弊的，依法给予处分；构成犯罪的，依法追究刑事责任。</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jc w:val="center"/>
        <w:textAlignment w:val="auto"/>
        <w:rPr>
          <w:rFonts w:hint="eastAsia" w:ascii="仿宋_GB2312" w:hAnsi="仿宋_GB2312" w:eastAsia="仿宋_GB2312" w:cs="仿宋_GB2312"/>
          <w:b/>
          <w:bCs/>
          <w:kern w:val="0"/>
          <w:sz w:val="32"/>
          <w:szCs w:val="32"/>
          <w:lang w:val="en-US" w:eastAsia="zh-CN" w:bidi="ar"/>
        </w:rPr>
      </w:pPr>
      <w:bookmarkStart w:id="112" w:name="_Toc10289"/>
      <w:bookmarkStart w:id="113" w:name="_Toc13008"/>
      <w:bookmarkStart w:id="114" w:name="_Toc13533"/>
      <w:bookmarkStart w:id="115" w:name="_Toc20392"/>
      <w:bookmarkStart w:id="116" w:name="_Toc8757"/>
      <w:bookmarkStart w:id="117" w:name="_Toc8366"/>
      <w:bookmarkStart w:id="118" w:name="_Toc15989"/>
      <w:bookmarkStart w:id="119" w:name="_Toc10217"/>
      <w:bookmarkStart w:id="120" w:name="_Toc3322"/>
      <w:r>
        <w:rPr>
          <w:rFonts w:hint="eastAsia" w:ascii="仿宋_GB2312" w:hAnsi="仿宋_GB2312" w:eastAsia="仿宋_GB2312" w:cs="仿宋_GB2312"/>
          <w:b/>
          <w:bCs/>
          <w:kern w:val="0"/>
          <w:sz w:val="32"/>
          <w:szCs w:val="32"/>
          <w:lang w:val="en-US" w:eastAsia="zh-CN" w:bidi="ar"/>
        </w:rPr>
        <w:t>第六章  附则</w:t>
      </w:r>
      <w:bookmarkEnd w:id="112"/>
      <w:bookmarkEnd w:id="113"/>
      <w:bookmarkEnd w:id="114"/>
      <w:bookmarkEnd w:id="115"/>
      <w:bookmarkEnd w:id="116"/>
      <w:bookmarkEnd w:id="117"/>
      <w:bookmarkEnd w:id="118"/>
      <w:bookmarkEnd w:id="119"/>
      <w:bookmarkEnd w:id="120"/>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right="0" w:firstLine="643" w:firstLineChars="200"/>
        <w:textAlignment w:val="auto"/>
        <w:rPr>
          <w:rFonts w:hint="eastAsia" w:ascii="仿宋_GB2312" w:hAnsi="仿宋_GB2312" w:eastAsia="仿宋_GB2312" w:cs="仿宋_GB2312"/>
          <w:color w:val="auto"/>
          <w:sz w:val="32"/>
          <w:szCs w:val="32"/>
        </w:rPr>
      </w:pPr>
      <w:r>
        <w:rPr>
          <w:rStyle w:val="15"/>
          <w:rFonts w:hint="eastAsia" w:ascii="仿宋_GB2312" w:hAnsi="仿宋_GB2312" w:eastAsia="仿宋_GB2312" w:cs="仿宋_GB2312"/>
          <w:color w:val="auto"/>
          <w:sz w:val="32"/>
          <w:szCs w:val="32"/>
          <w:shd w:val="clear" w:color="auto" w:fill="FFFFFF"/>
        </w:rPr>
        <w:t>第五十二条 </w:t>
      </w:r>
      <w:r>
        <w:rPr>
          <w:rFonts w:hint="eastAsia" w:ascii="仿宋_GB2312" w:hAnsi="仿宋_GB2312" w:eastAsia="仿宋_GB2312" w:cs="仿宋_GB2312"/>
          <w:color w:val="auto"/>
          <w:sz w:val="32"/>
          <w:szCs w:val="32"/>
          <w:shd w:val="clear" w:color="auto" w:fill="FFFFFF"/>
        </w:rPr>
        <w:t>中央军事委员会根据本法制定中国人民解放军保密条例。</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right="0" w:firstLine="643" w:firstLineChars="200"/>
        <w:textAlignment w:val="auto"/>
        <w:rPr>
          <w:rFonts w:hint="eastAsia" w:ascii="仿宋_GB2312" w:hAnsi="仿宋_GB2312" w:eastAsia="仿宋_GB2312" w:cs="仿宋_GB2312"/>
          <w:color w:val="auto"/>
          <w:sz w:val="32"/>
          <w:szCs w:val="32"/>
        </w:rPr>
      </w:pPr>
      <w:r>
        <w:rPr>
          <w:rStyle w:val="15"/>
          <w:rFonts w:hint="eastAsia" w:ascii="仿宋_GB2312" w:hAnsi="仿宋_GB2312" w:eastAsia="仿宋_GB2312" w:cs="仿宋_GB2312"/>
          <w:color w:val="auto"/>
          <w:sz w:val="32"/>
          <w:szCs w:val="32"/>
          <w:shd w:val="clear" w:color="auto" w:fill="FFFFFF"/>
        </w:rPr>
        <w:t>第五十三条 </w:t>
      </w:r>
      <w:r>
        <w:rPr>
          <w:rFonts w:hint="eastAsia" w:ascii="仿宋_GB2312" w:hAnsi="仿宋_GB2312" w:eastAsia="仿宋_GB2312" w:cs="仿宋_GB2312"/>
          <w:color w:val="auto"/>
          <w:sz w:val="32"/>
          <w:szCs w:val="32"/>
          <w:shd w:val="clear" w:color="auto" w:fill="FFFFFF"/>
        </w:rPr>
        <w:t>本法自2010年10月1日起施行。</w:t>
      </w:r>
    </w:p>
    <w:p>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仿宋_GB2312" w:hAnsi="仿宋_GB2312" w:eastAsia="仿宋_GB2312" w:cs="仿宋_GB2312"/>
          <w:sz w:val="32"/>
          <w:szCs w:val="32"/>
        </w:rPr>
      </w:pPr>
    </w:p>
    <w:p>
      <w:pPr>
        <w:keepNext w:val="0"/>
        <w:keepLines w:val="0"/>
        <w:pageBreakBefore w:val="0"/>
        <w:kinsoku/>
        <w:wordWrap/>
        <w:overflowPunct/>
        <w:topLinePunct w:val="0"/>
        <w:autoSpaceDE/>
        <w:autoSpaceDN/>
        <w:bidi w:val="0"/>
        <w:adjustRightInd/>
        <w:snapToGrid/>
        <w:spacing w:beforeAutospacing="0" w:afterAutospacing="0" w:line="600" w:lineRule="exact"/>
        <w:textAlignment w:val="auto"/>
        <w:rPr>
          <w:rFonts w:hint="eastAsia" w:ascii="仿宋_GB2312" w:hAnsi="仿宋_GB2312" w:eastAsia="仿宋_GB2312" w:cs="仿宋_GB2312"/>
          <w:sz w:val="32"/>
          <w:szCs w:val="32"/>
        </w:rPr>
      </w:pPr>
    </w:p>
    <w:p>
      <w:pPr>
        <w:keepNext w:val="0"/>
        <w:keepLines w:val="0"/>
        <w:pageBreakBefore w:val="0"/>
        <w:kinsoku/>
        <w:wordWrap/>
        <w:overflowPunct/>
        <w:topLinePunct w:val="0"/>
        <w:autoSpaceDE/>
        <w:autoSpaceDN/>
        <w:bidi w:val="0"/>
        <w:adjustRightInd/>
        <w:snapToGrid/>
        <w:spacing w:beforeAutospacing="0" w:afterAutospacing="0" w:line="600" w:lineRule="exact"/>
        <w:textAlignment w:val="auto"/>
        <w:rPr>
          <w:rFonts w:hint="eastAsia" w:ascii="仿宋_GB2312" w:hAnsi="仿宋_GB2312" w:eastAsia="仿宋_GB2312" w:cs="仿宋_GB2312"/>
          <w:sz w:val="32"/>
          <w:szCs w:val="32"/>
        </w:rPr>
      </w:pPr>
    </w:p>
    <w:sectPr>
      <w:footerReference r:id="rId3"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auto"/>
    <w:pitch w:val="default"/>
    <w:sig w:usb0="A00002EF" w:usb1="4000207B" w:usb2="00000000" w:usb3="00000000" w:csb0="2000019F" w:csb1="00000000"/>
  </w:font>
  <w:font w:name="方正大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9E11CD"/>
    <w:rsid w:val="01442ADD"/>
    <w:rsid w:val="014A5478"/>
    <w:rsid w:val="01920366"/>
    <w:rsid w:val="02851ABD"/>
    <w:rsid w:val="028C5CEB"/>
    <w:rsid w:val="041D079C"/>
    <w:rsid w:val="043C496E"/>
    <w:rsid w:val="0456546D"/>
    <w:rsid w:val="04A22271"/>
    <w:rsid w:val="05406A59"/>
    <w:rsid w:val="06BD350A"/>
    <w:rsid w:val="07873D91"/>
    <w:rsid w:val="084A3FED"/>
    <w:rsid w:val="08B6458B"/>
    <w:rsid w:val="092B6018"/>
    <w:rsid w:val="0A244B97"/>
    <w:rsid w:val="0ACC4AAA"/>
    <w:rsid w:val="0B4B4EAB"/>
    <w:rsid w:val="0B69327D"/>
    <w:rsid w:val="0B833457"/>
    <w:rsid w:val="0BD623F9"/>
    <w:rsid w:val="0C000C30"/>
    <w:rsid w:val="0C6B30DD"/>
    <w:rsid w:val="0D024A8B"/>
    <w:rsid w:val="0D2B2AD3"/>
    <w:rsid w:val="0D7205E0"/>
    <w:rsid w:val="0EC2486D"/>
    <w:rsid w:val="0F1E1009"/>
    <w:rsid w:val="108B2343"/>
    <w:rsid w:val="110B4C53"/>
    <w:rsid w:val="12C17BFD"/>
    <w:rsid w:val="12E40813"/>
    <w:rsid w:val="148D63EA"/>
    <w:rsid w:val="153804CD"/>
    <w:rsid w:val="155C3A2C"/>
    <w:rsid w:val="17975582"/>
    <w:rsid w:val="17FD4069"/>
    <w:rsid w:val="1837246E"/>
    <w:rsid w:val="19CE48E1"/>
    <w:rsid w:val="1A161098"/>
    <w:rsid w:val="1A164CB8"/>
    <w:rsid w:val="1A5F57C8"/>
    <w:rsid w:val="1AFB30BC"/>
    <w:rsid w:val="1B213C79"/>
    <w:rsid w:val="1B2D6ECF"/>
    <w:rsid w:val="1B433FA5"/>
    <w:rsid w:val="1C4B27B7"/>
    <w:rsid w:val="1FDB4849"/>
    <w:rsid w:val="206F09F5"/>
    <w:rsid w:val="21FF2690"/>
    <w:rsid w:val="227A2DF4"/>
    <w:rsid w:val="23151D96"/>
    <w:rsid w:val="238919CE"/>
    <w:rsid w:val="24AE3AE7"/>
    <w:rsid w:val="24DB5BAA"/>
    <w:rsid w:val="25E370F3"/>
    <w:rsid w:val="283C2E8B"/>
    <w:rsid w:val="2AE1732C"/>
    <w:rsid w:val="2BCB3F1F"/>
    <w:rsid w:val="2C296707"/>
    <w:rsid w:val="2CA92FC5"/>
    <w:rsid w:val="2CAE7237"/>
    <w:rsid w:val="2D057327"/>
    <w:rsid w:val="2D3E3EF3"/>
    <w:rsid w:val="2DC207E3"/>
    <w:rsid w:val="2EE7320F"/>
    <w:rsid w:val="31B66389"/>
    <w:rsid w:val="334D6EF1"/>
    <w:rsid w:val="33DD718E"/>
    <w:rsid w:val="341A7A29"/>
    <w:rsid w:val="357C5ADF"/>
    <w:rsid w:val="35BC5A67"/>
    <w:rsid w:val="35E35EAA"/>
    <w:rsid w:val="36923F1F"/>
    <w:rsid w:val="370F47D9"/>
    <w:rsid w:val="37FB60CD"/>
    <w:rsid w:val="397F3084"/>
    <w:rsid w:val="398F2EC9"/>
    <w:rsid w:val="3B2633EC"/>
    <w:rsid w:val="3C13424E"/>
    <w:rsid w:val="3E1920C1"/>
    <w:rsid w:val="3E5C3385"/>
    <w:rsid w:val="3E9E11CD"/>
    <w:rsid w:val="3F184034"/>
    <w:rsid w:val="3FC62463"/>
    <w:rsid w:val="44164727"/>
    <w:rsid w:val="45DD17BB"/>
    <w:rsid w:val="463657A1"/>
    <w:rsid w:val="473E7552"/>
    <w:rsid w:val="49F752E4"/>
    <w:rsid w:val="49FA39EE"/>
    <w:rsid w:val="4C221AC6"/>
    <w:rsid w:val="4C565D5C"/>
    <w:rsid w:val="4D2A1BD7"/>
    <w:rsid w:val="4EB33221"/>
    <w:rsid w:val="4F334EFB"/>
    <w:rsid w:val="50036172"/>
    <w:rsid w:val="51B57113"/>
    <w:rsid w:val="51EB29E7"/>
    <w:rsid w:val="525410B4"/>
    <w:rsid w:val="525939F9"/>
    <w:rsid w:val="52B25FDC"/>
    <w:rsid w:val="55863517"/>
    <w:rsid w:val="55DE0C7A"/>
    <w:rsid w:val="572F1414"/>
    <w:rsid w:val="5AE65781"/>
    <w:rsid w:val="5C2133B9"/>
    <w:rsid w:val="5DE13201"/>
    <w:rsid w:val="5EDD74E8"/>
    <w:rsid w:val="5EE41F18"/>
    <w:rsid w:val="61933CD8"/>
    <w:rsid w:val="62834D67"/>
    <w:rsid w:val="65E16F70"/>
    <w:rsid w:val="65E96510"/>
    <w:rsid w:val="6863355A"/>
    <w:rsid w:val="68C25252"/>
    <w:rsid w:val="6A3A7724"/>
    <w:rsid w:val="6D2506B6"/>
    <w:rsid w:val="6E0F7B57"/>
    <w:rsid w:val="6F3D0820"/>
    <w:rsid w:val="6F7C7DF4"/>
    <w:rsid w:val="6F944616"/>
    <w:rsid w:val="70F06A77"/>
    <w:rsid w:val="7162447B"/>
    <w:rsid w:val="72A37E3F"/>
    <w:rsid w:val="74C17F1A"/>
    <w:rsid w:val="754A20C3"/>
    <w:rsid w:val="765616F8"/>
    <w:rsid w:val="76C20F70"/>
    <w:rsid w:val="779C0E0B"/>
    <w:rsid w:val="7A4877B1"/>
    <w:rsid w:val="7A812260"/>
    <w:rsid w:val="7CA52641"/>
    <w:rsid w:val="7CBF5ACE"/>
    <w:rsid w:val="7D6322FF"/>
    <w:rsid w:val="7F7769E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paragraph" w:styleId="5">
    <w:name w:val="heading 4"/>
    <w:basedOn w:val="1"/>
    <w:next w:val="1"/>
    <w:semiHidden/>
    <w:unhideWhenUsed/>
    <w:qFormat/>
    <w:uiPriority w:val="0"/>
    <w:pPr>
      <w:spacing w:before="0" w:beforeAutospacing="1" w:after="0" w:afterAutospacing="1"/>
      <w:jc w:val="left"/>
    </w:pPr>
    <w:rPr>
      <w:rFonts w:hint="eastAsia" w:ascii="宋体" w:hAnsi="宋体" w:eastAsia="宋体" w:cs="宋体"/>
      <w:b/>
      <w:kern w:val="0"/>
      <w:sz w:val="24"/>
      <w:szCs w:val="24"/>
      <w:lang w:val="en-US" w:eastAsia="zh-CN" w:bidi="ar"/>
    </w:rPr>
  </w:style>
  <w:style w:type="character" w:default="1" w:styleId="14">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6">
    <w:name w:val="toc 3"/>
    <w:basedOn w:val="1"/>
    <w:next w:val="1"/>
    <w:qFormat/>
    <w:uiPriority w:val="0"/>
    <w:pPr>
      <w:ind w:left="840" w:leftChars="400"/>
    </w:p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toc 1"/>
    <w:basedOn w:val="1"/>
    <w:next w:val="1"/>
    <w:unhideWhenUsed/>
    <w:qFormat/>
    <w:uiPriority w:val="39"/>
    <w:pPr>
      <w:widowControl/>
      <w:spacing w:after="100" w:line="276" w:lineRule="auto"/>
      <w:jc w:val="left"/>
    </w:pPr>
    <w:rPr>
      <w:kern w:val="0"/>
      <w:sz w:val="22"/>
      <w:szCs w:val="22"/>
    </w:rPr>
  </w:style>
  <w:style w:type="paragraph" w:styleId="10">
    <w:name w:val="toc 2"/>
    <w:basedOn w:val="1"/>
    <w:next w:val="1"/>
    <w:qFormat/>
    <w:uiPriority w:val="0"/>
    <w:pPr>
      <w:ind w:left="420" w:leftChars="200"/>
    </w:pPr>
  </w:style>
  <w:style w:type="paragraph" w:styleId="11">
    <w:name w:val="Normal (Web)"/>
    <w:basedOn w:val="1"/>
    <w:qFormat/>
    <w:uiPriority w:val="99"/>
    <w:pPr>
      <w:spacing w:beforeAutospacing="1" w:afterAutospacing="1"/>
      <w:jc w:val="left"/>
    </w:pPr>
    <w:rPr>
      <w:rFonts w:cs="Times New Roman"/>
      <w:kern w:val="0"/>
      <w:sz w:val="24"/>
    </w:rPr>
  </w:style>
  <w:style w:type="paragraph" w:styleId="12">
    <w:name w:val="Title"/>
    <w:basedOn w:val="1"/>
    <w:next w:val="1"/>
    <w:qFormat/>
    <w:uiPriority w:val="10"/>
    <w:pPr>
      <w:spacing w:before="240" w:after="60"/>
      <w:jc w:val="center"/>
      <w:outlineLvl w:val="0"/>
    </w:pPr>
    <w:rPr>
      <w:rFonts w:eastAsia="宋体" w:asciiTheme="majorHAnsi" w:hAnsiTheme="majorHAnsi" w:cstheme="majorBidi"/>
      <w:b/>
      <w:bCs/>
      <w:sz w:val="32"/>
      <w:szCs w:val="32"/>
    </w:rPr>
  </w:style>
  <w:style w:type="character" w:styleId="15">
    <w:name w:val="Strong"/>
    <w:basedOn w:val="14"/>
    <w:qFormat/>
    <w:uiPriority w:val="0"/>
    <w:rPr>
      <w:b/>
    </w:rPr>
  </w:style>
  <w:style w:type="character" w:styleId="16">
    <w:name w:val="Hyperlink"/>
    <w:basedOn w:val="14"/>
    <w:qFormat/>
    <w:uiPriority w:val="99"/>
    <w:rPr>
      <w:color w:val="auto"/>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2021-04-30T02:35:00Z</dcterms:created>
  <dc:creator>Administrator</dc:creator>
  <cp:lastModifiedBy>宇芳</cp:lastModifiedBy>
  <dcterms:modified xsi:type="dcterms:W3CDTF">2021-06-02T01:06:09Z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KSOSaveFontToCloudKey">
    <vt:lpwstr>339655604_btnclosed</vt:lpwstr>
  </property>
  <property fmtid="{D5CDD505-2E9C-101B-9397-08002B2CF9AE}" pid="4" name="ICV">
    <vt:lpwstr>C093660FFD304F63931430144D7EC8D9</vt:lpwstr>
  </property>
</Properties>
</file>